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7F0F4" w14:textId="77777777" w:rsidR="000B354E" w:rsidRPr="009F0D91" w:rsidRDefault="000B354E">
      <w:pPr>
        <w:rPr>
          <w:rFonts w:ascii="Century Gothic" w:hAnsi="Century Gothic" w:cs="Arial"/>
          <w:i/>
          <w:lang w:val="fr-BE"/>
        </w:rPr>
      </w:pPr>
      <w:bookmarkStart w:id="0" w:name="_GoBack"/>
      <w:bookmarkEnd w:id="0"/>
      <w:r w:rsidRPr="003C6A5F">
        <w:rPr>
          <w:rFonts w:ascii="Century Gothic" w:hAnsi="Century Gothic" w:cs="Arial"/>
          <w:caps/>
          <w:lang w:val="fr"/>
        </w:rPr>
        <w:t>Commission paritaire des établissements et des services de santé (CP 330)</w:t>
      </w:r>
    </w:p>
    <w:p w14:paraId="7D838E1D" w14:textId="77777777" w:rsidR="000B354E" w:rsidRPr="009F0D91" w:rsidRDefault="000B354E">
      <w:pPr>
        <w:rPr>
          <w:rFonts w:ascii="Century Gothic" w:hAnsi="Century Gothic" w:cs="Arial"/>
          <w:lang w:val="fr-BE"/>
        </w:rPr>
      </w:pPr>
    </w:p>
    <w:p w14:paraId="3AEFE7B2" w14:textId="6A7535BE" w:rsidR="000B354E" w:rsidRPr="009F0D91" w:rsidRDefault="000B354E" w:rsidP="003D79C5">
      <w:pPr>
        <w:pBdr>
          <w:top w:val="single" w:sz="4" w:space="4" w:color="auto"/>
          <w:left w:val="single" w:sz="4" w:space="4" w:color="auto"/>
          <w:bottom w:val="single" w:sz="4" w:space="4" w:color="auto"/>
          <w:right w:val="single" w:sz="4" w:space="4" w:color="auto"/>
        </w:pBdr>
        <w:rPr>
          <w:rFonts w:ascii="Century Gothic" w:hAnsi="Century Gothic" w:cs="Arial"/>
          <w:b/>
          <w:bCs/>
          <w:caps/>
          <w:sz w:val="22"/>
          <w:szCs w:val="22"/>
          <w:lang w:val="fr-BE"/>
        </w:rPr>
      </w:pPr>
      <w:r w:rsidRPr="003C6A5F">
        <w:rPr>
          <w:rFonts w:ascii="Century Gothic" w:hAnsi="Century Gothic" w:cs="Arial"/>
          <w:b/>
          <w:bCs/>
          <w:caps/>
          <w:sz w:val="22"/>
          <w:szCs w:val="22"/>
          <w:lang w:val="fr"/>
        </w:rPr>
        <w:t>Convention collective de travail du 14 septembre 2020 relative à l'engagement de pension sectoriel pour l'année 2019 pour les secteurs régionalisés flamands de la santé</w:t>
      </w:r>
    </w:p>
    <w:p w14:paraId="20986691" w14:textId="77777777" w:rsidR="000B354E" w:rsidRPr="009F0D91" w:rsidRDefault="000B354E">
      <w:pPr>
        <w:rPr>
          <w:rFonts w:ascii="Century Gothic" w:hAnsi="Century Gothic"/>
          <w:lang w:val="fr-BE"/>
        </w:rPr>
      </w:pPr>
    </w:p>
    <w:p w14:paraId="11A3866B" w14:textId="77777777" w:rsidR="000B354E" w:rsidRPr="009F0D91" w:rsidRDefault="000B354E">
      <w:pPr>
        <w:pStyle w:val="Titre1"/>
        <w:rPr>
          <w:rFonts w:ascii="Century Gothic" w:hAnsi="Century Gothic" w:cs="Arial"/>
          <w:lang w:val="fr-BE"/>
        </w:rPr>
      </w:pPr>
      <w:r w:rsidRPr="003C6A5F">
        <w:rPr>
          <w:rFonts w:ascii="Century Gothic" w:hAnsi="Century Gothic" w:cs="Arial"/>
          <w:lang w:val="fr"/>
        </w:rPr>
        <w:t>Chapitre 1</w:t>
      </w:r>
      <w:r w:rsidRPr="003C6A5F">
        <w:rPr>
          <w:rFonts w:ascii="Century Gothic" w:hAnsi="Century Gothic" w:cs="Arial"/>
          <w:vertAlign w:val="superscript"/>
          <w:lang w:val="fr"/>
        </w:rPr>
        <w:t>er</w:t>
      </w:r>
      <w:r w:rsidRPr="003C6A5F">
        <w:rPr>
          <w:rFonts w:ascii="Century Gothic" w:hAnsi="Century Gothic" w:cs="Arial"/>
          <w:lang w:val="fr"/>
        </w:rPr>
        <w:t>. Objet de la convention</w:t>
      </w:r>
    </w:p>
    <w:p w14:paraId="4968841F" w14:textId="77777777" w:rsidR="000B354E" w:rsidRPr="009F0D91" w:rsidRDefault="000B354E">
      <w:pPr>
        <w:rPr>
          <w:rFonts w:ascii="Century Gothic" w:hAnsi="Century Gothic" w:cs="Arial"/>
          <w:lang w:val="fr-BE"/>
        </w:rPr>
      </w:pPr>
    </w:p>
    <w:p w14:paraId="49A17D84" w14:textId="77777777" w:rsidR="000B354E" w:rsidRPr="009F0D91" w:rsidRDefault="000B354E">
      <w:pPr>
        <w:pStyle w:val="Corpsdetexte"/>
        <w:spacing w:line="240" w:lineRule="atLeast"/>
        <w:rPr>
          <w:rFonts w:ascii="Century Gothic" w:hAnsi="Century Gothic" w:cs="Arial"/>
          <w:b/>
          <w:sz w:val="20"/>
          <w:szCs w:val="24"/>
          <w:lang w:val="fr-BE"/>
        </w:rPr>
      </w:pPr>
      <w:r w:rsidRPr="009F0D91">
        <w:rPr>
          <w:rFonts w:ascii="Century Gothic" w:hAnsi="Century Gothic" w:cs="Arial"/>
          <w:b/>
          <w:sz w:val="20"/>
          <w:szCs w:val="24"/>
          <w:lang w:val="fr-BE"/>
        </w:rPr>
        <w:t>Article 1</w:t>
      </w:r>
      <w:r w:rsidRPr="009F0D91">
        <w:rPr>
          <w:rFonts w:ascii="Century Gothic" w:hAnsi="Century Gothic" w:cs="Arial"/>
          <w:b/>
          <w:sz w:val="20"/>
          <w:szCs w:val="24"/>
          <w:vertAlign w:val="superscript"/>
          <w:lang w:val="fr-BE"/>
        </w:rPr>
        <w:t>er</w:t>
      </w:r>
      <w:r w:rsidRPr="009F0D91">
        <w:rPr>
          <w:rFonts w:ascii="Century Gothic" w:hAnsi="Century Gothic" w:cs="Arial"/>
          <w:b/>
          <w:sz w:val="20"/>
          <w:szCs w:val="24"/>
          <w:lang w:val="fr-BE"/>
        </w:rPr>
        <w:t xml:space="preserve"> </w:t>
      </w:r>
    </w:p>
    <w:p w14:paraId="53590C24" w14:textId="77777777" w:rsidR="000B354E" w:rsidRPr="009F0D91" w:rsidRDefault="000B354E" w:rsidP="00FA4A9F">
      <w:pPr>
        <w:pStyle w:val="Corpsdetexte"/>
        <w:spacing w:before="120" w:line="240" w:lineRule="atLeast"/>
        <w:rPr>
          <w:rFonts w:ascii="Century Gothic" w:eastAsia="PMingLiU" w:hAnsi="Century Gothic" w:cs="Arial"/>
          <w:sz w:val="20"/>
          <w:szCs w:val="24"/>
          <w:lang w:val="fr-BE"/>
        </w:rPr>
      </w:pPr>
      <w:r w:rsidRPr="009F0D91">
        <w:rPr>
          <w:rFonts w:ascii="Century Gothic" w:eastAsia="PMingLiU" w:hAnsi="Century Gothic" w:cs="Arial"/>
          <w:sz w:val="20"/>
          <w:szCs w:val="24"/>
          <w:lang w:val="fr-BE"/>
        </w:rPr>
        <w:t xml:space="preserve">La présente convention collective de travail est </w:t>
      </w:r>
      <w:proofErr w:type="gramStart"/>
      <w:r w:rsidRPr="009F0D91">
        <w:rPr>
          <w:rFonts w:ascii="Century Gothic" w:eastAsia="PMingLiU" w:hAnsi="Century Gothic" w:cs="Arial"/>
          <w:sz w:val="20"/>
          <w:szCs w:val="24"/>
          <w:lang w:val="fr-BE"/>
        </w:rPr>
        <w:t>conclue:</w:t>
      </w:r>
      <w:proofErr w:type="gramEnd"/>
      <w:r w:rsidRPr="009F0D91">
        <w:rPr>
          <w:rFonts w:ascii="Century Gothic" w:eastAsia="PMingLiU" w:hAnsi="Century Gothic" w:cs="Arial"/>
          <w:sz w:val="20"/>
          <w:szCs w:val="24"/>
          <w:lang w:val="fr-BE"/>
        </w:rPr>
        <w:t xml:space="preserve"> </w:t>
      </w:r>
    </w:p>
    <w:p w14:paraId="1A339D18" w14:textId="39041CD6" w:rsidR="000B354E" w:rsidRPr="009F0D91" w:rsidRDefault="000B354E" w:rsidP="00FA4A9F">
      <w:pPr>
        <w:pStyle w:val="Corpsdetexte"/>
        <w:numPr>
          <w:ilvl w:val="0"/>
          <w:numId w:val="37"/>
        </w:numPr>
        <w:spacing w:line="240" w:lineRule="atLeast"/>
        <w:rPr>
          <w:rFonts w:ascii="Century Gothic" w:eastAsia="PMingLiU" w:hAnsi="Century Gothic" w:cs="Arial"/>
          <w:sz w:val="20"/>
          <w:szCs w:val="24"/>
          <w:lang w:val="fr-BE"/>
        </w:rPr>
      </w:pPr>
      <w:r w:rsidRPr="009F0D91">
        <w:rPr>
          <w:rFonts w:ascii="Century Gothic" w:eastAsia="PMingLiU" w:hAnsi="Century Gothic" w:cs="Arial"/>
          <w:sz w:val="20"/>
          <w:szCs w:val="24"/>
          <w:lang w:val="fr-BE"/>
        </w:rPr>
        <w:t>en exécution de l'article 5 de la convention collective de travail du 13 décembre 2010 instaurant un régime de pension complémentaire sectoriel (numéro d’enregistrement 103537/CO/330), conclue au sein de la commission paritaire des établissements et des services de santé, et telle que modifiée en dernier lieu par la convention collective de travail du 3 juin 2019 modifiant le règlement de pension du régime sectoriel de pension complémentaire 330 (numéro d'enregistrement 152885/CO/330) et par la convention collective de travail du 11 mai 2015 modifiant la convention collective de travail du 13 décembre 2010 instaurant un régime de pension complémentaire sectoriel (numéro d’enregistrement 127323/CO/330);</w:t>
      </w:r>
    </w:p>
    <w:p w14:paraId="60707B97" w14:textId="04F6A93C" w:rsidR="00E66647" w:rsidRPr="009F0D91" w:rsidRDefault="000B354E" w:rsidP="00FA4A9F">
      <w:pPr>
        <w:pStyle w:val="Corpsdetexte"/>
        <w:numPr>
          <w:ilvl w:val="0"/>
          <w:numId w:val="37"/>
        </w:numPr>
        <w:spacing w:line="240" w:lineRule="atLeast"/>
        <w:rPr>
          <w:rFonts w:ascii="Century Gothic" w:eastAsia="PMingLiU" w:hAnsi="Century Gothic" w:cs="Arial"/>
          <w:sz w:val="20"/>
          <w:szCs w:val="24"/>
          <w:lang w:val="fr-BE"/>
        </w:rPr>
      </w:pPr>
      <w:proofErr w:type="gramStart"/>
      <w:r w:rsidRPr="009F0D91">
        <w:rPr>
          <w:rFonts w:ascii="Century Gothic" w:eastAsia="PMingLiU" w:hAnsi="Century Gothic" w:cs="Arial"/>
          <w:sz w:val="20"/>
          <w:szCs w:val="24"/>
          <w:lang w:val="fr-BE"/>
        </w:rPr>
        <w:t>en</w:t>
      </w:r>
      <w:proofErr w:type="gramEnd"/>
      <w:r w:rsidRPr="009F0D91">
        <w:rPr>
          <w:rFonts w:ascii="Century Gothic" w:eastAsia="PMingLiU" w:hAnsi="Century Gothic" w:cs="Arial"/>
          <w:sz w:val="20"/>
          <w:szCs w:val="24"/>
          <w:lang w:val="fr-BE"/>
        </w:rPr>
        <w:t xml:space="preserve"> application de l’article 5 du règlement de pension repris comme annexe à la convention collective de travail du 3 juin 2019 modifiant le règlement de pension du régime sectoriel de pension complémentaire 330 (numéro d'enregistrement 152885/CO/330);</w:t>
      </w:r>
    </w:p>
    <w:p w14:paraId="05C70485" w14:textId="1F371FDE" w:rsidR="006D780A" w:rsidRPr="009F0D91" w:rsidRDefault="006D780A" w:rsidP="00FA4A9F">
      <w:pPr>
        <w:pStyle w:val="Corpsdetexte"/>
        <w:numPr>
          <w:ilvl w:val="0"/>
          <w:numId w:val="37"/>
        </w:numPr>
        <w:spacing w:line="240" w:lineRule="atLeast"/>
        <w:rPr>
          <w:rFonts w:ascii="Century Gothic" w:eastAsia="PMingLiU" w:hAnsi="Century Gothic" w:cs="Arial"/>
          <w:sz w:val="20"/>
          <w:szCs w:val="24"/>
          <w:lang w:val="fr-BE"/>
        </w:rPr>
      </w:pPr>
      <w:r w:rsidRPr="009F0D91">
        <w:rPr>
          <w:rFonts w:ascii="Century Gothic" w:eastAsia="PMingLiU" w:hAnsi="Century Gothic" w:cs="Arial"/>
          <w:sz w:val="20"/>
          <w:szCs w:val="24"/>
          <w:lang w:val="fr-BE"/>
        </w:rPr>
        <w:t>Convention collective de travail du 14 janvier 2019 fixant, pour l'année 2019, le pourcentage des cotisations au financement complémentaire du deuxième pilier de pension (numéro d’enregistrement 150639/CO/330).</w:t>
      </w:r>
    </w:p>
    <w:p w14:paraId="2C07AD37" w14:textId="77777777" w:rsidR="000B354E" w:rsidRPr="009F0D91" w:rsidRDefault="000B354E" w:rsidP="00FA4A9F">
      <w:pPr>
        <w:pStyle w:val="Corpsdetexte"/>
        <w:spacing w:line="240" w:lineRule="atLeast"/>
        <w:rPr>
          <w:rFonts w:ascii="Century Gothic" w:eastAsia="PMingLiU" w:hAnsi="Century Gothic" w:cs="Arial"/>
          <w:sz w:val="20"/>
          <w:szCs w:val="24"/>
          <w:lang w:val="fr-BE"/>
        </w:rPr>
      </w:pPr>
    </w:p>
    <w:p w14:paraId="3D8CF012" w14:textId="77777777" w:rsidR="000B354E" w:rsidRPr="009F0D91" w:rsidRDefault="000B354E" w:rsidP="00FA4A9F">
      <w:pPr>
        <w:pStyle w:val="Titre1"/>
        <w:rPr>
          <w:rFonts w:ascii="Century Gothic" w:hAnsi="Century Gothic" w:cs="Arial"/>
          <w:lang w:val="fr-BE"/>
        </w:rPr>
      </w:pPr>
      <w:r w:rsidRPr="003C6A5F">
        <w:rPr>
          <w:rFonts w:ascii="Century Gothic" w:hAnsi="Century Gothic" w:cs="Arial"/>
          <w:lang w:val="fr"/>
        </w:rPr>
        <w:t xml:space="preserve">Chapitre </w:t>
      </w:r>
      <w:proofErr w:type="gramStart"/>
      <w:r w:rsidRPr="003C6A5F">
        <w:rPr>
          <w:rFonts w:ascii="Century Gothic" w:hAnsi="Century Gothic" w:cs="Arial"/>
          <w:lang w:val="fr"/>
        </w:rPr>
        <w:t>2:</w:t>
      </w:r>
      <w:proofErr w:type="gramEnd"/>
      <w:r w:rsidRPr="003C6A5F">
        <w:rPr>
          <w:rFonts w:ascii="Century Gothic" w:hAnsi="Century Gothic" w:cs="Arial"/>
          <w:lang w:val="fr"/>
        </w:rPr>
        <w:t xml:space="preserve"> Champ d'application</w:t>
      </w:r>
    </w:p>
    <w:p w14:paraId="62E2BB41" w14:textId="77777777" w:rsidR="000B354E" w:rsidRPr="009F0D91" w:rsidRDefault="000B354E" w:rsidP="00FA4A9F">
      <w:pPr>
        <w:pStyle w:val="Titre1"/>
        <w:rPr>
          <w:rFonts w:ascii="Century Gothic" w:hAnsi="Century Gothic" w:cs="Arial"/>
          <w:lang w:val="fr-BE"/>
        </w:rPr>
      </w:pPr>
    </w:p>
    <w:p w14:paraId="2F3688DA" w14:textId="77777777" w:rsidR="000B354E" w:rsidRPr="009F0D91" w:rsidRDefault="000B354E" w:rsidP="00FA4A9F">
      <w:pPr>
        <w:pStyle w:val="Titre1"/>
        <w:rPr>
          <w:rFonts w:ascii="Century Gothic" w:hAnsi="Century Gothic" w:cs="Arial"/>
          <w:b w:val="0"/>
          <w:lang w:val="fr-BE"/>
        </w:rPr>
      </w:pPr>
      <w:r w:rsidRPr="003C6A5F">
        <w:rPr>
          <w:rFonts w:ascii="Century Gothic" w:hAnsi="Century Gothic" w:cs="Arial"/>
          <w:lang w:val="fr"/>
        </w:rPr>
        <w:t>Article 2</w:t>
      </w:r>
    </w:p>
    <w:p w14:paraId="00419C77" w14:textId="70B53611" w:rsidR="00170B07" w:rsidRPr="009F0D91" w:rsidRDefault="00170B07" w:rsidP="008F4F1B">
      <w:pPr>
        <w:spacing w:line="240" w:lineRule="auto"/>
        <w:ind w:right="-142"/>
        <w:rPr>
          <w:rFonts w:ascii="Century Gothic" w:eastAsia="Calibri" w:hAnsi="Century Gothic"/>
          <w:szCs w:val="20"/>
          <w:lang w:val="fr-BE" w:eastAsia="en-US"/>
        </w:rPr>
      </w:pPr>
      <w:r w:rsidRPr="009F0D91">
        <w:rPr>
          <w:rFonts w:ascii="Century Gothic" w:eastAsia="Calibri" w:hAnsi="Century Gothic"/>
          <w:szCs w:val="20"/>
          <w:lang w:val="fr-BE" w:eastAsia="en-US"/>
        </w:rPr>
        <w:t xml:space="preserve">La présente convention collective de travail s'applique à tous les employeurs et travailleurs qui ressortissent à la Commission paritaire des établissements et des services de santé et qui font partie des secteurs ci-dessous relevant de la compétence de la Communauté flamande et/ou </w:t>
      </w:r>
      <w:r w:rsidRPr="003C6A5F">
        <w:rPr>
          <w:rFonts w:ascii="Century Gothic" w:hAnsi="Century Gothic" w:cs="Arial"/>
          <w:lang w:val="fr"/>
        </w:rPr>
        <w:t>de la Commission communautaire flamande de la Région de Bruxelles-Capitale, à l’exception des catégories prévues à l’article 3 de la présente convention collective de travail</w:t>
      </w:r>
      <w:r w:rsidRPr="009F0D91">
        <w:rPr>
          <w:rFonts w:ascii="Century Gothic" w:eastAsia="Calibri" w:hAnsi="Century Gothic"/>
          <w:szCs w:val="20"/>
          <w:lang w:val="fr-BE" w:eastAsia="en-US"/>
        </w:rPr>
        <w:t>:</w:t>
      </w:r>
    </w:p>
    <w:p w14:paraId="701C2FC2" w14:textId="5DAE26BB" w:rsidR="00170B07" w:rsidRPr="009F0D91" w:rsidRDefault="00170B07" w:rsidP="008F4F1B">
      <w:pPr>
        <w:numPr>
          <w:ilvl w:val="0"/>
          <w:numId w:val="47"/>
        </w:numPr>
        <w:spacing w:line="240" w:lineRule="auto"/>
        <w:ind w:left="357" w:hanging="357"/>
        <w:rPr>
          <w:rFonts w:ascii="Century Gothic" w:eastAsia="Calibri" w:hAnsi="Century Gothic"/>
          <w:szCs w:val="20"/>
          <w:lang w:val="fr-BE" w:eastAsia="en-US"/>
        </w:rPr>
      </w:pPr>
      <w:proofErr w:type="gramStart"/>
      <w:r w:rsidRPr="009F0D91">
        <w:rPr>
          <w:rFonts w:ascii="Century Gothic" w:eastAsia="Calibri" w:hAnsi="Century Gothic"/>
          <w:szCs w:val="20"/>
          <w:lang w:val="fr-BE" w:eastAsia="en-US"/>
        </w:rPr>
        <w:t>les</w:t>
      </w:r>
      <w:proofErr w:type="gramEnd"/>
      <w:r w:rsidRPr="009F0D91">
        <w:rPr>
          <w:rFonts w:ascii="Century Gothic" w:eastAsia="Calibri" w:hAnsi="Century Gothic"/>
          <w:szCs w:val="20"/>
          <w:lang w:val="fr-BE" w:eastAsia="en-US"/>
        </w:rPr>
        <w:t xml:space="preserve"> hôpitaux catégoriels (c’est-à-dire les hôpitaux qui disposent exclusivement d’un service G (revalidation de patients gériatriques) et/ou d'un service Sp (service spécialisé de traitement et de revalidation) tels que mentionnés à l’article 5, §1</w:t>
      </w:r>
      <w:r w:rsidRPr="009F0D91">
        <w:rPr>
          <w:rFonts w:ascii="Century Gothic" w:eastAsia="Calibri" w:hAnsi="Century Gothic"/>
          <w:szCs w:val="20"/>
          <w:vertAlign w:val="superscript"/>
          <w:lang w:val="fr-BE" w:eastAsia="en-US"/>
        </w:rPr>
        <w:t>er</w:t>
      </w:r>
      <w:r w:rsidRPr="009F0D91">
        <w:rPr>
          <w:rFonts w:ascii="Century Gothic" w:eastAsia="Calibri" w:hAnsi="Century Gothic"/>
          <w:szCs w:val="20"/>
          <w:lang w:val="fr-BE" w:eastAsia="en-US"/>
        </w:rPr>
        <w:t>, I, premier alinéa, 3° et 4° de la loi spéciale de réformes institutionnelles du 8 août 1980;</w:t>
      </w:r>
    </w:p>
    <w:p w14:paraId="04611DF7" w14:textId="7D10C06D" w:rsidR="00170B07" w:rsidRPr="009F0D91" w:rsidRDefault="00170B07" w:rsidP="008F4F1B">
      <w:pPr>
        <w:numPr>
          <w:ilvl w:val="0"/>
          <w:numId w:val="47"/>
        </w:numPr>
        <w:autoSpaceDE w:val="0"/>
        <w:autoSpaceDN w:val="0"/>
        <w:adjustRightInd w:val="0"/>
        <w:spacing w:line="240" w:lineRule="auto"/>
        <w:ind w:left="360"/>
        <w:textAlignment w:val="center"/>
        <w:rPr>
          <w:rFonts w:ascii="Century Gothic" w:eastAsia="Calibri" w:hAnsi="Century Gothic" w:cs="Arial Black"/>
          <w:szCs w:val="20"/>
          <w:lang w:val="fr-BE" w:eastAsia="en-US"/>
        </w:rPr>
      </w:pPr>
      <w:proofErr w:type="gramStart"/>
      <w:r w:rsidRPr="009F0D91">
        <w:rPr>
          <w:rFonts w:ascii="Century Gothic" w:eastAsia="Calibri" w:hAnsi="Century Gothic" w:cs="Arial Black"/>
          <w:szCs w:val="20"/>
          <w:lang w:val="fr-BE" w:eastAsia="en-US"/>
        </w:rPr>
        <w:t>les</w:t>
      </w:r>
      <w:proofErr w:type="gramEnd"/>
      <w:r w:rsidRPr="009F0D91">
        <w:rPr>
          <w:rFonts w:ascii="Century Gothic" w:eastAsia="Calibri" w:hAnsi="Century Gothic" w:cs="Arial Black"/>
          <w:szCs w:val="20"/>
          <w:lang w:val="fr-BE" w:eastAsia="en-US"/>
        </w:rPr>
        <w:t xml:space="preserve"> maisons de repos pour personnes âgées, les maisons de repos et de soins, les centres de soins de jour, les logements à assistance, les centres de court séjour pour personnes âgées;</w:t>
      </w:r>
    </w:p>
    <w:p w14:paraId="1CC75198" w14:textId="79F97474" w:rsidR="00170B07" w:rsidRPr="009F0D91" w:rsidRDefault="00170B07" w:rsidP="008F4F1B">
      <w:pPr>
        <w:numPr>
          <w:ilvl w:val="0"/>
          <w:numId w:val="47"/>
        </w:numPr>
        <w:autoSpaceDE w:val="0"/>
        <w:autoSpaceDN w:val="0"/>
        <w:adjustRightInd w:val="0"/>
        <w:spacing w:line="240" w:lineRule="auto"/>
        <w:ind w:left="360"/>
        <w:textAlignment w:val="center"/>
        <w:rPr>
          <w:rFonts w:ascii="Century Gothic" w:eastAsia="Calibri" w:hAnsi="Century Gothic" w:cs="Arial Black"/>
          <w:szCs w:val="20"/>
          <w:lang w:val="fr-BE" w:eastAsia="en-US"/>
        </w:rPr>
      </w:pPr>
      <w:proofErr w:type="gramStart"/>
      <w:r w:rsidRPr="009F0D91">
        <w:rPr>
          <w:rFonts w:ascii="Century Gothic" w:eastAsia="Calibri" w:hAnsi="Century Gothic" w:cs="Arial Black"/>
          <w:szCs w:val="20"/>
          <w:lang w:val="fr-BE" w:eastAsia="en-US"/>
        </w:rPr>
        <w:t>les</w:t>
      </w:r>
      <w:proofErr w:type="gramEnd"/>
      <w:r w:rsidRPr="009F0D91">
        <w:rPr>
          <w:rFonts w:ascii="Century Gothic" w:eastAsia="Calibri" w:hAnsi="Century Gothic" w:cs="Arial Black"/>
          <w:szCs w:val="20"/>
          <w:lang w:val="fr-BE" w:eastAsia="en-US"/>
        </w:rPr>
        <w:t xml:space="preserve"> maisons de soins psychiatriques;</w:t>
      </w:r>
    </w:p>
    <w:p w14:paraId="2591E4ED" w14:textId="71F58B96" w:rsidR="00170B07" w:rsidRPr="000C29C8" w:rsidRDefault="00170B07" w:rsidP="008F4F1B">
      <w:pPr>
        <w:numPr>
          <w:ilvl w:val="0"/>
          <w:numId w:val="47"/>
        </w:numPr>
        <w:autoSpaceDE w:val="0"/>
        <w:autoSpaceDN w:val="0"/>
        <w:adjustRightInd w:val="0"/>
        <w:spacing w:line="240" w:lineRule="auto"/>
        <w:ind w:left="360"/>
        <w:textAlignment w:val="center"/>
        <w:rPr>
          <w:rFonts w:ascii="Century Gothic" w:eastAsia="Calibri" w:hAnsi="Century Gothic" w:cs="Arial Black"/>
          <w:szCs w:val="20"/>
          <w:lang w:eastAsia="en-US"/>
        </w:rPr>
      </w:pPr>
      <w:proofErr w:type="gramStart"/>
      <w:r w:rsidRPr="000C29C8">
        <w:rPr>
          <w:rFonts w:ascii="Century Gothic" w:eastAsia="Calibri" w:hAnsi="Century Gothic" w:cs="Arial Black"/>
          <w:szCs w:val="20"/>
          <w:lang w:eastAsia="en-US"/>
        </w:rPr>
        <w:t>les</w:t>
      </w:r>
      <w:proofErr w:type="gramEnd"/>
      <w:r w:rsidRPr="000C29C8">
        <w:rPr>
          <w:rFonts w:ascii="Century Gothic" w:eastAsia="Calibri" w:hAnsi="Century Gothic" w:cs="Arial Black"/>
          <w:szCs w:val="20"/>
          <w:lang w:eastAsia="en-US"/>
        </w:rPr>
        <w:t xml:space="preserve"> initiatives d’habitation protégée;</w:t>
      </w:r>
    </w:p>
    <w:p w14:paraId="69080E1E" w14:textId="77777777" w:rsidR="00170B07" w:rsidRPr="009F0D91" w:rsidRDefault="00170B07" w:rsidP="008F4F1B">
      <w:pPr>
        <w:numPr>
          <w:ilvl w:val="0"/>
          <w:numId w:val="47"/>
        </w:numPr>
        <w:autoSpaceDE w:val="0"/>
        <w:autoSpaceDN w:val="0"/>
        <w:adjustRightInd w:val="0"/>
        <w:spacing w:line="240" w:lineRule="auto"/>
        <w:ind w:left="357" w:hanging="357"/>
        <w:textAlignment w:val="center"/>
        <w:rPr>
          <w:rFonts w:ascii="Century Gothic" w:eastAsia="Calibri" w:hAnsi="Century Gothic" w:cs="Arial Black"/>
          <w:szCs w:val="20"/>
          <w:lang w:val="fr-BE" w:eastAsia="en-US"/>
        </w:rPr>
      </w:pPr>
      <w:proofErr w:type="gramStart"/>
      <w:r w:rsidRPr="009F0D91">
        <w:rPr>
          <w:rFonts w:ascii="Century Gothic" w:eastAsia="Calibri" w:hAnsi="Century Gothic" w:cs="Arial Black"/>
          <w:szCs w:val="20"/>
          <w:lang w:val="fr-BE" w:eastAsia="en-US"/>
        </w:rPr>
        <w:t>les</w:t>
      </w:r>
      <w:proofErr w:type="gramEnd"/>
      <w:r w:rsidRPr="009F0D91">
        <w:rPr>
          <w:rFonts w:ascii="Century Gothic" w:eastAsia="Calibri" w:hAnsi="Century Gothic" w:cs="Arial Black"/>
          <w:szCs w:val="20"/>
          <w:lang w:val="fr-BE" w:eastAsia="en-US"/>
        </w:rPr>
        <w:t xml:space="preserve"> centres de revalidation à l'exclusion des établissements avec lesquels le Comité de l’assurance de l’INAMI, sur proposition du Collège des médecins directeurs, en application de l’article 22, 6°, de la loi concernant l’assurance obligatoire soins de santé et indemnités coordonnée du 14 juillet 1994, a conclu une convention et qui ne tombent pas sous l’application de l’article 5, §1</w:t>
      </w:r>
      <w:r w:rsidRPr="009F0D91">
        <w:rPr>
          <w:rFonts w:ascii="Century Gothic" w:eastAsia="Calibri" w:hAnsi="Century Gothic" w:cs="Arial Black"/>
          <w:szCs w:val="20"/>
          <w:vertAlign w:val="superscript"/>
          <w:lang w:val="fr-BE" w:eastAsia="en-US"/>
        </w:rPr>
        <w:t>er</w:t>
      </w:r>
      <w:r w:rsidRPr="009F0D91">
        <w:rPr>
          <w:rFonts w:ascii="Century Gothic" w:eastAsia="Calibri" w:hAnsi="Century Gothic" w:cs="Arial Black"/>
          <w:szCs w:val="20"/>
          <w:lang w:val="fr-BE" w:eastAsia="en-US"/>
        </w:rPr>
        <w:t>, I, 5°, de la loi spéciale du 8 août 1980 de réformes institutionnelles.</w:t>
      </w:r>
    </w:p>
    <w:p w14:paraId="751293AD" w14:textId="77777777" w:rsidR="00170B07" w:rsidRPr="009F0D91" w:rsidRDefault="00170B07" w:rsidP="00170B07">
      <w:pPr>
        <w:spacing w:before="120"/>
        <w:rPr>
          <w:rFonts w:ascii="Century Gothic" w:hAnsi="Century Gothic"/>
          <w:szCs w:val="20"/>
          <w:lang w:val="fr-BE"/>
        </w:rPr>
      </w:pPr>
      <w:r w:rsidRPr="009F0D91">
        <w:rPr>
          <w:rFonts w:ascii="Century Gothic" w:eastAsia="Calibri" w:hAnsi="Century Gothic" w:cs="Arial Black"/>
          <w:szCs w:val="20"/>
          <w:lang w:val="fr-BE" w:eastAsia="en-US"/>
        </w:rPr>
        <w:t>Par travailleurs, on entend le personnel ouvrier et employé, masculin et féminin. </w:t>
      </w:r>
    </w:p>
    <w:p w14:paraId="0BCAE5B5" w14:textId="77777777" w:rsidR="000B354E" w:rsidRPr="009F0D91" w:rsidRDefault="000B354E" w:rsidP="00FA4A9F">
      <w:pPr>
        <w:rPr>
          <w:rFonts w:ascii="Century Gothic" w:hAnsi="Century Gothic" w:cs="Arial"/>
          <w:bCs/>
          <w:lang w:val="fr-BE"/>
        </w:rPr>
      </w:pPr>
    </w:p>
    <w:p w14:paraId="01DB1338" w14:textId="77777777" w:rsidR="000B354E" w:rsidRPr="009F0D91" w:rsidRDefault="000B354E" w:rsidP="00FA4A9F">
      <w:pPr>
        <w:rPr>
          <w:rFonts w:ascii="Century Gothic" w:hAnsi="Century Gothic" w:cs="Arial"/>
          <w:b/>
          <w:lang w:val="fr-BE"/>
        </w:rPr>
      </w:pPr>
      <w:r w:rsidRPr="009F0D91">
        <w:rPr>
          <w:rFonts w:ascii="Century Gothic" w:hAnsi="Century Gothic" w:cs="Arial"/>
          <w:b/>
          <w:lang w:val="fr-BE"/>
        </w:rPr>
        <w:t>Article 3</w:t>
      </w:r>
    </w:p>
    <w:p w14:paraId="4C7D033D" w14:textId="77777777" w:rsidR="000B354E" w:rsidRPr="009F0D91" w:rsidRDefault="000B354E" w:rsidP="00FA4A9F">
      <w:pPr>
        <w:rPr>
          <w:rFonts w:ascii="Century Gothic" w:hAnsi="Century Gothic" w:cs="Arial"/>
          <w:lang w:val="fr-BE"/>
        </w:rPr>
      </w:pPr>
      <w:r w:rsidRPr="009F0D91">
        <w:rPr>
          <w:rFonts w:ascii="Century Gothic" w:hAnsi="Century Gothic" w:cs="Arial"/>
          <w:lang w:val="fr-BE"/>
        </w:rPr>
        <w:t xml:space="preserve">La présente convention collective de travail ne s'applique </w:t>
      </w:r>
      <w:proofErr w:type="gramStart"/>
      <w:r w:rsidRPr="009F0D91">
        <w:rPr>
          <w:rFonts w:ascii="Century Gothic" w:hAnsi="Century Gothic" w:cs="Arial"/>
          <w:lang w:val="fr-BE"/>
        </w:rPr>
        <w:t>pas:</w:t>
      </w:r>
      <w:proofErr w:type="gramEnd"/>
    </w:p>
    <w:p w14:paraId="72F22855" w14:textId="544EE73A" w:rsidR="00EA04DC" w:rsidRPr="009F0D91" w:rsidRDefault="00EA04DC" w:rsidP="00FA4A9F">
      <w:pPr>
        <w:numPr>
          <w:ilvl w:val="0"/>
          <w:numId w:val="4"/>
        </w:numPr>
        <w:ind w:left="284" w:hanging="284"/>
        <w:rPr>
          <w:rFonts w:ascii="Century Gothic" w:hAnsi="Century Gothic" w:cs="Arial"/>
          <w:lang w:val="fr-BE"/>
        </w:rPr>
      </w:pPr>
      <w:proofErr w:type="gramStart"/>
      <w:r w:rsidRPr="009F0D91">
        <w:rPr>
          <w:rFonts w:ascii="Century Gothic" w:hAnsi="Century Gothic" w:cs="Arial"/>
          <w:lang w:val="fr-BE"/>
        </w:rPr>
        <w:t>aux</w:t>
      </w:r>
      <w:proofErr w:type="gramEnd"/>
      <w:r w:rsidRPr="009F0D91">
        <w:rPr>
          <w:rFonts w:ascii="Century Gothic" w:hAnsi="Century Gothic" w:cs="Arial"/>
          <w:lang w:val="fr-BE"/>
        </w:rPr>
        <w:t xml:space="preserve"> travailleurs sous contrat de travail intérimaire;</w:t>
      </w:r>
    </w:p>
    <w:p w14:paraId="4F02284F" w14:textId="720988B7" w:rsidR="00EA04DC" w:rsidRPr="009F0D91" w:rsidRDefault="00EA04DC" w:rsidP="00FA4A9F">
      <w:pPr>
        <w:numPr>
          <w:ilvl w:val="0"/>
          <w:numId w:val="4"/>
        </w:numPr>
        <w:ind w:left="284" w:hanging="284"/>
        <w:rPr>
          <w:rFonts w:ascii="Century Gothic" w:hAnsi="Century Gothic" w:cs="Arial"/>
          <w:lang w:val="fr-BE"/>
        </w:rPr>
      </w:pPr>
      <w:proofErr w:type="gramStart"/>
      <w:r w:rsidRPr="009F0D91">
        <w:rPr>
          <w:rFonts w:ascii="Century Gothic" w:hAnsi="Century Gothic" w:cs="Arial"/>
          <w:lang w:val="fr-BE"/>
        </w:rPr>
        <w:t>aux</w:t>
      </w:r>
      <w:proofErr w:type="gramEnd"/>
      <w:r w:rsidRPr="009F0D91">
        <w:rPr>
          <w:rFonts w:ascii="Century Gothic" w:hAnsi="Century Gothic" w:cs="Arial"/>
          <w:lang w:val="fr-BE"/>
        </w:rPr>
        <w:t xml:space="preserve"> travailleurs sous contrat de vacances, d'étudiant ou FPI (formation professionnelle individuelle en entreprise);</w:t>
      </w:r>
    </w:p>
    <w:p w14:paraId="20D13A0A" w14:textId="72CEBCDA" w:rsidR="00EA04DC" w:rsidRPr="009F0D91" w:rsidRDefault="00EA04DC" w:rsidP="00FA4A9F">
      <w:pPr>
        <w:numPr>
          <w:ilvl w:val="0"/>
          <w:numId w:val="4"/>
        </w:numPr>
        <w:ind w:left="284" w:hanging="284"/>
        <w:rPr>
          <w:rFonts w:ascii="Century Gothic" w:hAnsi="Century Gothic" w:cs="Arial"/>
          <w:lang w:val="fr-BE"/>
        </w:rPr>
      </w:pPr>
      <w:proofErr w:type="gramStart"/>
      <w:r w:rsidRPr="009F0D91">
        <w:rPr>
          <w:rFonts w:ascii="Century Gothic" w:hAnsi="Century Gothic" w:cs="Arial"/>
          <w:lang w:val="fr-BE"/>
        </w:rPr>
        <w:lastRenderedPageBreak/>
        <w:t>aux</w:t>
      </w:r>
      <w:proofErr w:type="gramEnd"/>
      <w:r w:rsidRPr="009F0D91">
        <w:rPr>
          <w:rFonts w:ascii="Century Gothic" w:hAnsi="Century Gothic" w:cs="Arial"/>
          <w:lang w:val="fr-BE"/>
        </w:rPr>
        <w:t xml:space="preserve"> apprentis pour lesquels aucune cotisation de sécurité sociale n'est payée (apprentis agréés des classes moyennes, apprentis industriels, apprentis en formation de chef d'entreprise, apprentis sous convention d'insertion socio-professionnelle reconnue par les Communautés et Régions, stagiaires en convention d'immersion professionnelle);</w:t>
      </w:r>
    </w:p>
    <w:p w14:paraId="15AC5539" w14:textId="002FF873" w:rsidR="00EA04DC" w:rsidRPr="009F0D91" w:rsidRDefault="00EA04DC" w:rsidP="00FA4A9F">
      <w:pPr>
        <w:numPr>
          <w:ilvl w:val="0"/>
          <w:numId w:val="4"/>
        </w:numPr>
        <w:ind w:left="284" w:hanging="284"/>
        <w:rPr>
          <w:rFonts w:ascii="Century Gothic" w:hAnsi="Century Gothic" w:cs="Arial"/>
          <w:lang w:val="fr-BE"/>
        </w:rPr>
      </w:pPr>
      <w:proofErr w:type="gramStart"/>
      <w:r w:rsidRPr="009F0D91">
        <w:rPr>
          <w:rFonts w:ascii="Century Gothic" w:hAnsi="Century Gothic" w:cs="Arial"/>
          <w:lang w:val="fr-BE"/>
        </w:rPr>
        <w:t>aux</w:t>
      </w:r>
      <w:proofErr w:type="gramEnd"/>
      <w:r w:rsidRPr="009F0D91">
        <w:rPr>
          <w:rFonts w:ascii="Century Gothic" w:hAnsi="Century Gothic" w:cs="Arial"/>
          <w:lang w:val="fr-BE"/>
        </w:rPr>
        <w:t xml:space="preserve"> collaborateurs dans le cadre du travail assisté et aux personnes occupées dans le cadre de l'article 60, § 7 de la loi organique des C.P.A.S. et occupées dans le cadre de l'article 78 de l'AR du 25/11/1991, à moins qu'il ne soit question d'un contrat de travail;</w:t>
      </w:r>
    </w:p>
    <w:p w14:paraId="0F4E190B" w14:textId="4B5B13FE" w:rsidR="00EA04DC" w:rsidRPr="009F0D91" w:rsidRDefault="00EA04DC" w:rsidP="00FA4A9F">
      <w:pPr>
        <w:numPr>
          <w:ilvl w:val="0"/>
          <w:numId w:val="4"/>
        </w:numPr>
        <w:ind w:left="284" w:hanging="284"/>
        <w:rPr>
          <w:rFonts w:ascii="Century Gothic" w:hAnsi="Century Gothic" w:cs="Arial"/>
          <w:lang w:val="fr-BE"/>
        </w:rPr>
      </w:pPr>
      <w:proofErr w:type="gramStart"/>
      <w:r w:rsidRPr="009F0D91">
        <w:rPr>
          <w:rFonts w:ascii="Century Gothic" w:hAnsi="Century Gothic" w:cs="Arial"/>
          <w:lang w:val="fr-BE"/>
        </w:rPr>
        <w:t>aux</w:t>
      </w:r>
      <w:proofErr w:type="gramEnd"/>
      <w:r w:rsidRPr="009F0D91">
        <w:rPr>
          <w:rFonts w:ascii="Century Gothic" w:hAnsi="Century Gothic" w:cs="Arial"/>
          <w:lang w:val="fr-BE"/>
        </w:rPr>
        <w:t xml:space="preserve"> travailleurs qui exercent des activités alors qu'ils bénéficient déjà d'une pension de retraite légale;</w:t>
      </w:r>
    </w:p>
    <w:p w14:paraId="42236A5A" w14:textId="77777777" w:rsidR="000B354E" w:rsidRPr="009F0D91" w:rsidRDefault="00EA04DC" w:rsidP="00FA4A9F">
      <w:pPr>
        <w:numPr>
          <w:ilvl w:val="0"/>
          <w:numId w:val="4"/>
        </w:numPr>
        <w:ind w:left="284" w:hanging="284"/>
        <w:rPr>
          <w:rFonts w:ascii="Century Gothic" w:hAnsi="Century Gothic" w:cs="Arial"/>
          <w:lang w:val="fr-BE"/>
        </w:rPr>
      </w:pPr>
      <w:proofErr w:type="gramStart"/>
      <w:r w:rsidRPr="009F0D91">
        <w:rPr>
          <w:rFonts w:ascii="Century Gothic" w:hAnsi="Century Gothic" w:cs="Arial"/>
          <w:lang w:val="fr-BE"/>
        </w:rPr>
        <w:t>aux</w:t>
      </w:r>
      <w:proofErr w:type="gramEnd"/>
      <w:r w:rsidRPr="009F0D91">
        <w:rPr>
          <w:rFonts w:ascii="Century Gothic" w:hAnsi="Century Gothic" w:cs="Arial"/>
          <w:lang w:val="fr-BE"/>
        </w:rPr>
        <w:t xml:space="preserve"> médecins-employés qui suivent la formation de médecin spécialiste et qui sont soumis à un assujettissement restreint par des employeurs hôpitaux du secteur privé (code 072 ONSS).</w:t>
      </w:r>
    </w:p>
    <w:p w14:paraId="63B3D0BD" w14:textId="77777777" w:rsidR="000B354E" w:rsidRPr="009F0D91" w:rsidRDefault="000B354E" w:rsidP="00FA4A9F">
      <w:pPr>
        <w:rPr>
          <w:rFonts w:ascii="Century Gothic" w:hAnsi="Century Gothic" w:cs="Arial"/>
          <w:lang w:val="fr-BE"/>
        </w:rPr>
      </w:pPr>
    </w:p>
    <w:p w14:paraId="045BDEE5" w14:textId="77777777" w:rsidR="000B354E" w:rsidRPr="009F0D91" w:rsidRDefault="000B354E" w:rsidP="00FA4A9F">
      <w:pPr>
        <w:pStyle w:val="Titre1"/>
        <w:rPr>
          <w:rFonts w:ascii="Century Gothic" w:hAnsi="Century Gothic" w:cs="Arial"/>
          <w:lang w:val="fr-BE"/>
        </w:rPr>
      </w:pPr>
      <w:r w:rsidRPr="003C6A5F">
        <w:rPr>
          <w:rFonts w:ascii="Century Gothic" w:hAnsi="Century Gothic" w:cs="Arial"/>
          <w:lang w:val="fr"/>
        </w:rPr>
        <w:t>Chapitre 3. Engagement de pension</w:t>
      </w:r>
    </w:p>
    <w:p w14:paraId="5382B0CF" w14:textId="77777777" w:rsidR="000B354E" w:rsidRPr="009F0D91" w:rsidRDefault="000B354E" w:rsidP="00FA4A9F">
      <w:pPr>
        <w:rPr>
          <w:rFonts w:ascii="Century Gothic" w:hAnsi="Century Gothic" w:cs="Arial"/>
          <w:b/>
          <w:lang w:val="fr-BE"/>
        </w:rPr>
      </w:pPr>
    </w:p>
    <w:p w14:paraId="57C5E930" w14:textId="77777777" w:rsidR="000B354E" w:rsidRPr="009F0D91" w:rsidRDefault="000B354E" w:rsidP="00FA4A9F">
      <w:pPr>
        <w:rPr>
          <w:rFonts w:ascii="Century Gothic" w:hAnsi="Century Gothic" w:cs="Arial"/>
          <w:b/>
          <w:lang w:val="fr-BE"/>
        </w:rPr>
      </w:pPr>
      <w:r w:rsidRPr="003C6A5F">
        <w:rPr>
          <w:rFonts w:ascii="Century Gothic" w:hAnsi="Century Gothic" w:cs="Arial"/>
          <w:b/>
          <w:lang w:val="fr"/>
        </w:rPr>
        <w:t xml:space="preserve">Article 4 </w:t>
      </w:r>
    </w:p>
    <w:p w14:paraId="5E8FB72B" w14:textId="40BCB4BD" w:rsidR="000B354E" w:rsidRPr="009F0D91" w:rsidRDefault="000B354E" w:rsidP="00FA4A9F">
      <w:pPr>
        <w:spacing w:before="120"/>
        <w:rPr>
          <w:rFonts w:ascii="Century Gothic" w:hAnsi="Century Gothic" w:cs="Calibri"/>
          <w:lang w:val="fr-BE"/>
        </w:rPr>
      </w:pPr>
      <w:r w:rsidRPr="009F0D91">
        <w:rPr>
          <w:rFonts w:ascii="Century Gothic" w:hAnsi="Century Gothic" w:cs="Calibri"/>
          <w:b/>
          <w:bCs/>
          <w:lang w:val="fr-BE"/>
        </w:rPr>
        <w:t>§ 1</w:t>
      </w:r>
      <w:r w:rsidRPr="009F0D91">
        <w:rPr>
          <w:rFonts w:ascii="Century Gothic" w:hAnsi="Century Gothic" w:cs="Calibri"/>
          <w:b/>
          <w:bCs/>
          <w:vertAlign w:val="superscript"/>
          <w:lang w:val="fr-BE"/>
        </w:rPr>
        <w:t>er</w:t>
      </w:r>
      <w:r w:rsidRPr="009F0D91">
        <w:rPr>
          <w:rFonts w:ascii="Century Gothic" w:hAnsi="Century Gothic" w:cs="Calibri"/>
          <w:b/>
          <w:bCs/>
          <w:lang w:val="fr-BE"/>
        </w:rPr>
        <w:t>.</w:t>
      </w:r>
      <w:r w:rsidR="00AC306B" w:rsidRPr="009F0D91">
        <w:rPr>
          <w:rFonts w:ascii="Century Gothic" w:hAnsi="Century Gothic" w:cs="Calibri"/>
          <w:lang w:val="fr-BE"/>
        </w:rPr>
        <w:t xml:space="preserve"> Le 1</w:t>
      </w:r>
      <w:r w:rsidR="00AC306B" w:rsidRPr="009F0D91">
        <w:rPr>
          <w:rFonts w:ascii="Century Gothic" w:hAnsi="Century Gothic" w:cs="Calibri"/>
          <w:vertAlign w:val="superscript"/>
          <w:lang w:val="fr-BE"/>
        </w:rPr>
        <w:t>er</w:t>
      </w:r>
      <w:r w:rsidR="00AC306B" w:rsidRPr="009F0D91">
        <w:rPr>
          <w:rFonts w:ascii="Century Gothic" w:hAnsi="Century Gothic" w:cs="Calibri"/>
          <w:lang w:val="fr-BE"/>
        </w:rPr>
        <w:t xml:space="preserve"> janvier 2020, un supplément unique est versé sur le compte de pension individuel pour l'année 2019.</w:t>
      </w:r>
    </w:p>
    <w:p w14:paraId="4A72D991" w14:textId="785886BE" w:rsidR="000B354E" w:rsidRPr="009F0D91" w:rsidRDefault="000B354E" w:rsidP="00FA4A9F">
      <w:pPr>
        <w:spacing w:before="120"/>
        <w:rPr>
          <w:rFonts w:ascii="Century Gothic" w:hAnsi="Century Gothic" w:cs="Calibri"/>
          <w:lang w:val="fr-BE"/>
        </w:rPr>
      </w:pPr>
      <w:r w:rsidRPr="009F0D91">
        <w:rPr>
          <w:rFonts w:ascii="Century Gothic" w:hAnsi="Century Gothic" w:cs="Calibri"/>
          <w:b/>
          <w:bCs/>
          <w:lang w:val="fr-BE"/>
        </w:rPr>
        <w:t>§ 2.</w:t>
      </w:r>
      <w:r w:rsidR="00AC306B" w:rsidRPr="009F0D91">
        <w:rPr>
          <w:rFonts w:ascii="Century Gothic" w:hAnsi="Century Gothic" w:cs="Calibri"/>
          <w:lang w:val="fr-BE"/>
        </w:rPr>
        <w:t xml:space="preserve"> La date de valeur à partir de laquelle le rendement est octroyé devient le 1</w:t>
      </w:r>
      <w:r w:rsidR="00AC306B" w:rsidRPr="009F0D91">
        <w:rPr>
          <w:rFonts w:ascii="Century Gothic" w:hAnsi="Century Gothic" w:cs="Calibri"/>
          <w:vertAlign w:val="superscript"/>
          <w:lang w:val="fr-BE"/>
        </w:rPr>
        <w:t>er</w:t>
      </w:r>
      <w:r w:rsidR="00AC306B" w:rsidRPr="009F0D91">
        <w:rPr>
          <w:rFonts w:ascii="Century Gothic" w:hAnsi="Century Gothic" w:cs="Calibri"/>
          <w:lang w:val="fr-BE"/>
        </w:rPr>
        <w:t xml:space="preserve"> janvier 2020.</w:t>
      </w:r>
    </w:p>
    <w:p w14:paraId="33116D90" w14:textId="77777777" w:rsidR="000B354E" w:rsidRPr="009F0D91" w:rsidRDefault="000B354E" w:rsidP="00FA4A9F">
      <w:pPr>
        <w:rPr>
          <w:rFonts w:ascii="Century Gothic" w:hAnsi="Century Gothic" w:cs="Calibri"/>
          <w:lang w:val="fr-BE"/>
        </w:rPr>
      </w:pPr>
    </w:p>
    <w:p w14:paraId="3EA4F7A4" w14:textId="77777777" w:rsidR="000B354E" w:rsidRPr="009F0D91" w:rsidRDefault="000B354E" w:rsidP="00FA4A9F">
      <w:pPr>
        <w:pStyle w:val="Titre1"/>
        <w:rPr>
          <w:rFonts w:ascii="Century Gothic" w:hAnsi="Century Gothic" w:cs="Calibri"/>
          <w:lang w:val="fr-BE"/>
        </w:rPr>
      </w:pPr>
      <w:r w:rsidRPr="003C6A5F">
        <w:rPr>
          <w:rFonts w:ascii="Century Gothic" w:hAnsi="Century Gothic" w:cs="Calibri"/>
          <w:lang w:val="fr"/>
        </w:rPr>
        <w:t>Article 5</w:t>
      </w:r>
    </w:p>
    <w:p w14:paraId="0916354C" w14:textId="77777777" w:rsidR="00D8428A" w:rsidRPr="009F0D91" w:rsidRDefault="000B354E" w:rsidP="00FA4A9F">
      <w:pPr>
        <w:spacing w:before="120"/>
        <w:rPr>
          <w:rFonts w:ascii="Century Gothic" w:hAnsi="Century Gothic" w:cs="Calibri"/>
          <w:lang w:val="fr-BE"/>
        </w:rPr>
      </w:pPr>
      <w:r w:rsidRPr="009F0D91">
        <w:rPr>
          <w:rFonts w:ascii="Century Gothic" w:hAnsi="Century Gothic" w:cs="Calibri"/>
          <w:lang w:val="fr-BE"/>
        </w:rPr>
        <w:t xml:space="preserve">Le supplément pour l'année 2019 s'élève à </w:t>
      </w:r>
    </w:p>
    <w:p w14:paraId="1E08CA4D" w14:textId="77777777" w:rsidR="00D8428A" w:rsidRPr="009F0D91" w:rsidRDefault="000B354E" w:rsidP="00D8428A">
      <w:pPr>
        <w:pStyle w:val="Paragraphedeliste"/>
        <w:numPr>
          <w:ilvl w:val="0"/>
          <w:numId w:val="4"/>
        </w:numPr>
        <w:rPr>
          <w:rFonts w:ascii="Century Gothic" w:hAnsi="Century Gothic" w:cs="Calibri"/>
          <w:lang w:val="fr-BE"/>
        </w:rPr>
      </w:pPr>
      <w:proofErr w:type="gramStart"/>
      <w:r w:rsidRPr="009F0D91">
        <w:rPr>
          <w:rFonts w:ascii="Century Gothic" w:hAnsi="Century Gothic" w:cs="Calibri"/>
          <w:lang w:val="fr-BE"/>
        </w:rPr>
        <w:t>maximum</w:t>
      </w:r>
      <w:proofErr w:type="gramEnd"/>
      <w:r w:rsidRPr="009F0D91">
        <w:rPr>
          <w:rFonts w:ascii="Century Gothic" w:hAnsi="Century Gothic" w:cs="Calibri"/>
          <w:lang w:val="fr-BE"/>
        </w:rPr>
        <w:t xml:space="preserve"> vingt-six euros et trente cents par trimestre qui y donne droit pour la période du 1er janvier 2019 au 30 juin 2019 </w:t>
      </w:r>
    </w:p>
    <w:p w14:paraId="58443F6F" w14:textId="3F628C24" w:rsidR="00D8428A" w:rsidRPr="009F0D91" w:rsidRDefault="00D8428A" w:rsidP="00D8428A">
      <w:pPr>
        <w:pStyle w:val="Paragraphedeliste"/>
        <w:numPr>
          <w:ilvl w:val="0"/>
          <w:numId w:val="4"/>
        </w:numPr>
        <w:rPr>
          <w:rFonts w:ascii="Century Gothic" w:hAnsi="Century Gothic" w:cs="Calibri"/>
          <w:lang w:val="fr-BE"/>
        </w:rPr>
      </w:pPr>
      <w:proofErr w:type="gramStart"/>
      <w:r w:rsidRPr="009F0D91">
        <w:rPr>
          <w:rFonts w:ascii="Century Gothic" w:hAnsi="Century Gothic" w:cs="Calibri"/>
          <w:lang w:val="fr-BE"/>
        </w:rPr>
        <w:t>et</w:t>
      </w:r>
      <w:proofErr w:type="gramEnd"/>
      <w:r w:rsidRPr="009F0D91">
        <w:rPr>
          <w:rFonts w:ascii="Century Gothic" w:hAnsi="Century Gothic" w:cs="Calibri"/>
          <w:lang w:val="fr-BE"/>
        </w:rPr>
        <w:t xml:space="preserve"> à maximum quarante-huit euros et septante cents par trimestre qui y donne droit pour la période du 1er juin 2019 au 31 décembre 2019 </w:t>
      </w:r>
    </w:p>
    <w:p w14:paraId="59BD2F9C" w14:textId="5A8FC0B2" w:rsidR="000B354E" w:rsidRPr="00D8428A" w:rsidRDefault="00AC306B" w:rsidP="00D8428A">
      <w:pPr>
        <w:rPr>
          <w:rFonts w:ascii="Century Gothic" w:hAnsi="Century Gothic" w:cs="Calibri"/>
        </w:rPr>
      </w:pPr>
      <w:proofErr w:type="gramStart"/>
      <w:r w:rsidRPr="00D8428A">
        <w:rPr>
          <w:rFonts w:ascii="Century Gothic" w:hAnsi="Century Gothic" w:cs="Calibri"/>
        </w:rPr>
        <w:t>pour</w:t>
      </w:r>
      <w:proofErr w:type="gramEnd"/>
      <w:r w:rsidRPr="00D8428A">
        <w:rPr>
          <w:rFonts w:ascii="Century Gothic" w:hAnsi="Century Gothic" w:cs="Calibri"/>
        </w:rPr>
        <w:t xml:space="preserve"> autant:</w:t>
      </w:r>
    </w:p>
    <w:p w14:paraId="49D85621" w14:textId="7B0FD8D1" w:rsidR="000B354E" w:rsidRPr="009F0D91" w:rsidRDefault="000B354E" w:rsidP="00FA4A9F">
      <w:pPr>
        <w:numPr>
          <w:ilvl w:val="0"/>
          <w:numId w:val="44"/>
        </w:numPr>
        <w:rPr>
          <w:rFonts w:ascii="Century Gothic" w:hAnsi="Century Gothic" w:cs="Calibri"/>
          <w:lang w:val="fr-BE"/>
        </w:rPr>
      </w:pPr>
      <w:proofErr w:type="gramStart"/>
      <w:r w:rsidRPr="009F0D91">
        <w:rPr>
          <w:rFonts w:ascii="Century Gothic" w:hAnsi="Century Gothic" w:cs="Calibri"/>
          <w:lang w:val="fr-BE"/>
        </w:rPr>
        <w:t>que</w:t>
      </w:r>
      <w:proofErr w:type="gramEnd"/>
      <w:r w:rsidRPr="009F0D91">
        <w:rPr>
          <w:rFonts w:ascii="Century Gothic" w:hAnsi="Century Gothic" w:cs="Calibri"/>
          <w:lang w:val="fr-BE"/>
        </w:rPr>
        <w:t>, durant l'année 2019, l'affilié ait été lié par un contrat de travail avec une organisation à laquelle s'applique le règlement de pension;</w:t>
      </w:r>
    </w:p>
    <w:p w14:paraId="0B6CFD65" w14:textId="326245FE" w:rsidR="000B354E" w:rsidRPr="009F0D91" w:rsidRDefault="000B354E" w:rsidP="00FA4A9F">
      <w:pPr>
        <w:numPr>
          <w:ilvl w:val="0"/>
          <w:numId w:val="44"/>
        </w:numPr>
        <w:rPr>
          <w:rFonts w:ascii="Century Gothic" w:hAnsi="Century Gothic" w:cs="Calibri"/>
          <w:lang w:val="fr-BE"/>
        </w:rPr>
      </w:pPr>
      <w:proofErr w:type="gramStart"/>
      <w:r w:rsidRPr="009F0D91">
        <w:rPr>
          <w:rFonts w:ascii="Century Gothic" w:hAnsi="Century Gothic" w:cs="Calibri"/>
          <w:lang w:val="fr-BE"/>
        </w:rPr>
        <w:t>et</w:t>
      </w:r>
      <w:proofErr w:type="gramEnd"/>
      <w:r w:rsidRPr="009F0D91">
        <w:rPr>
          <w:rFonts w:ascii="Century Gothic" w:hAnsi="Century Gothic" w:cs="Calibri"/>
          <w:lang w:val="fr-BE"/>
        </w:rPr>
        <w:t xml:space="preserve"> qu'il ait été lié par un contrat de travail pendant au moins deux trimestres consécutifs à une organisation à laquelle s'applique le règlement de pension, durant la période du 1</w:t>
      </w:r>
      <w:r w:rsidRPr="009F0D91">
        <w:rPr>
          <w:rFonts w:ascii="Century Gothic" w:hAnsi="Century Gothic" w:cs="Calibri"/>
          <w:vertAlign w:val="superscript"/>
          <w:lang w:val="fr-BE"/>
        </w:rPr>
        <w:t>er</w:t>
      </w:r>
      <w:r w:rsidRPr="009F0D91">
        <w:rPr>
          <w:rFonts w:ascii="Century Gothic" w:hAnsi="Century Gothic" w:cs="Calibri"/>
          <w:lang w:val="fr-BE"/>
        </w:rPr>
        <w:t xml:space="preserve"> janvier 2019 au 31 décembre 2019.</w:t>
      </w:r>
    </w:p>
    <w:p w14:paraId="6F41B127" w14:textId="77777777" w:rsidR="000B354E" w:rsidRPr="009F0D91" w:rsidRDefault="000B354E" w:rsidP="00FA4A9F">
      <w:pPr>
        <w:rPr>
          <w:rFonts w:ascii="Century Gothic" w:hAnsi="Century Gothic" w:cs="Calibri"/>
          <w:lang w:val="fr-BE"/>
        </w:rPr>
      </w:pPr>
    </w:p>
    <w:p w14:paraId="46361E7A" w14:textId="77777777" w:rsidR="000B354E" w:rsidRPr="009F0D91" w:rsidRDefault="000B354E" w:rsidP="00FA4A9F">
      <w:pPr>
        <w:pStyle w:val="Titre1"/>
        <w:rPr>
          <w:rFonts w:ascii="Century Gothic" w:hAnsi="Century Gothic" w:cs="Calibri"/>
          <w:lang w:val="fr-BE"/>
        </w:rPr>
      </w:pPr>
      <w:r w:rsidRPr="003C6A5F">
        <w:rPr>
          <w:rFonts w:ascii="Century Gothic" w:hAnsi="Century Gothic" w:cs="Calibri"/>
          <w:lang w:val="fr"/>
        </w:rPr>
        <w:t>Article 6</w:t>
      </w:r>
    </w:p>
    <w:p w14:paraId="253C0B29" w14:textId="4FD02DAC" w:rsidR="000B354E" w:rsidRPr="009F0D91" w:rsidRDefault="000B354E" w:rsidP="00FA4A9F">
      <w:pPr>
        <w:spacing w:before="120"/>
        <w:rPr>
          <w:rFonts w:ascii="Century Gothic" w:hAnsi="Century Gothic" w:cs="Calibri"/>
          <w:lang w:val="fr-BE"/>
        </w:rPr>
      </w:pPr>
      <w:r w:rsidRPr="009F0D91">
        <w:rPr>
          <w:rFonts w:ascii="Century Gothic" w:hAnsi="Century Gothic" w:cs="Calibri"/>
          <w:b/>
          <w:bCs/>
          <w:lang w:val="fr-BE"/>
        </w:rPr>
        <w:t>§ 1</w:t>
      </w:r>
      <w:r w:rsidRPr="009F0D91">
        <w:rPr>
          <w:rFonts w:ascii="Century Gothic" w:hAnsi="Century Gothic" w:cs="Calibri"/>
          <w:b/>
          <w:bCs/>
          <w:vertAlign w:val="superscript"/>
          <w:lang w:val="fr-BE"/>
        </w:rPr>
        <w:t>er</w:t>
      </w:r>
      <w:r w:rsidRPr="009F0D91">
        <w:rPr>
          <w:rFonts w:ascii="Century Gothic" w:hAnsi="Century Gothic" w:cs="Calibri"/>
          <w:b/>
          <w:bCs/>
          <w:lang w:val="fr-BE"/>
        </w:rPr>
        <w:t>.</w:t>
      </w:r>
      <w:r w:rsidR="00AC306B" w:rsidRPr="009F0D91">
        <w:rPr>
          <w:rFonts w:ascii="Century Gothic" w:hAnsi="Century Gothic" w:cs="Calibri"/>
          <w:lang w:val="fr-BE"/>
        </w:rPr>
        <w:t xml:space="preserve"> Le supplément est octroyé proportionnellement à la "durée de travail contractuelle", à savoir [le nombre moyen d'heures hebdomadaires prestées par le travailleur] divisé par [le nombre moyen d'heures hebdomadaires prestées par la personne de référence].</w:t>
      </w:r>
    </w:p>
    <w:p w14:paraId="0B84D966" w14:textId="77777777" w:rsidR="000B354E" w:rsidRPr="009F0D91" w:rsidRDefault="000B354E" w:rsidP="00FA4A9F">
      <w:pPr>
        <w:rPr>
          <w:rFonts w:ascii="Century Gothic" w:hAnsi="Century Gothic" w:cs="Calibri"/>
          <w:lang w:val="fr-BE"/>
        </w:rPr>
      </w:pPr>
      <w:r w:rsidRPr="009F0D91">
        <w:rPr>
          <w:rFonts w:ascii="Century Gothic" w:hAnsi="Century Gothic" w:cs="Calibri"/>
          <w:lang w:val="fr-BE"/>
        </w:rPr>
        <w:t>Si le travailleur n'a pas presté un trimestre complet ou s'il a changé de durée de travail contractuelle en cours de trimestre, la durée de travail contractuelle est proratisée en fonction du nombre de jours civils de la durée de travail par rapport au nombre de jours civils du trimestre concerné.</w:t>
      </w:r>
    </w:p>
    <w:p w14:paraId="0294C5B2" w14:textId="23E6A74F" w:rsidR="000B354E" w:rsidRPr="009F0D91" w:rsidRDefault="000B354E" w:rsidP="00FA4A9F">
      <w:pPr>
        <w:spacing w:before="120"/>
        <w:rPr>
          <w:rFonts w:ascii="Century Gothic" w:hAnsi="Century Gothic" w:cs="Calibri"/>
          <w:lang w:val="fr-BE"/>
        </w:rPr>
      </w:pPr>
      <w:r w:rsidRPr="009F0D91">
        <w:rPr>
          <w:rFonts w:ascii="Century Gothic" w:hAnsi="Century Gothic" w:cs="Calibri"/>
          <w:b/>
          <w:bCs/>
          <w:lang w:val="fr-BE"/>
        </w:rPr>
        <w:t xml:space="preserve">§ 2. </w:t>
      </w:r>
      <w:r w:rsidR="00AC306B" w:rsidRPr="009F0D91">
        <w:rPr>
          <w:rFonts w:ascii="Century Gothic" w:hAnsi="Century Gothic" w:cs="Calibri"/>
          <w:lang w:val="fr-BE"/>
        </w:rPr>
        <w:t>Si le travailleur a obtenu sa pension légale dans le courant du trimestre, la durée de travail contractuelle est proratisée en fonction du nombre de jours civils jusqu'à la date de la pension par rapport au nombre de jours civils du trimestre concerné.</w:t>
      </w:r>
    </w:p>
    <w:p w14:paraId="2070F484" w14:textId="1E016BC7" w:rsidR="00491A7E" w:rsidRPr="009F0D91" w:rsidRDefault="00491A7E" w:rsidP="00FA4A9F">
      <w:pPr>
        <w:spacing w:before="120"/>
        <w:rPr>
          <w:rFonts w:ascii="Century Gothic" w:hAnsi="Century Gothic" w:cs="Calibri"/>
          <w:lang w:val="fr-BE"/>
        </w:rPr>
      </w:pPr>
      <w:r w:rsidRPr="009F0D91">
        <w:rPr>
          <w:rFonts w:ascii="Century Gothic" w:hAnsi="Century Gothic"/>
          <w:b/>
          <w:szCs w:val="20"/>
          <w:lang w:val="fr-BE"/>
        </w:rPr>
        <w:t>§ 3.</w:t>
      </w:r>
      <w:r w:rsidRPr="009F0D91">
        <w:rPr>
          <w:rFonts w:ascii="Century Gothic" w:hAnsi="Century Gothic"/>
          <w:szCs w:val="20"/>
          <w:lang w:val="fr-BE"/>
        </w:rPr>
        <w:t xml:space="preserve"> En cas d'indemnité de préavis, le supplément, fixé par la présente convention collective de travail, est octroyé pour l'ensemble de la période correspondant à l'indemnité de préavis, pour autant que cette période débute au cours de l'année 2019 et que, préalablement à cette période, le travailleur concerné ait satisfait aux conditions de la présente convention collective de travail.</w:t>
      </w:r>
    </w:p>
    <w:p w14:paraId="28611DEF" w14:textId="2A6D960E" w:rsidR="000B354E" w:rsidRPr="009F0D91" w:rsidRDefault="000B354E" w:rsidP="00FA4A9F">
      <w:pPr>
        <w:spacing w:before="120"/>
        <w:rPr>
          <w:rFonts w:ascii="Century Gothic" w:hAnsi="Century Gothic" w:cs="Calibri"/>
          <w:lang w:val="fr-BE"/>
        </w:rPr>
      </w:pPr>
      <w:r w:rsidRPr="009F0D91">
        <w:rPr>
          <w:rFonts w:ascii="Century Gothic" w:hAnsi="Century Gothic" w:cs="Calibri"/>
          <w:b/>
          <w:bCs/>
          <w:lang w:val="fr-BE"/>
        </w:rPr>
        <w:t>§ 4.</w:t>
      </w:r>
      <w:r w:rsidR="00AC306B" w:rsidRPr="009F0D91">
        <w:rPr>
          <w:rFonts w:ascii="Century Gothic" w:hAnsi="Century Gothic" w:cs="Calibri"/>
          <w:lang w:val="fr-BE"/>
        </w:rPr>
        <w:t xml:space="preserve"> Le calcul du supplément est établi sur la base des données communiquées par l'Office national de Sécurité sociale par le biais de la Banque Carrefour de la Sécurité sociale.</w:t>
      </w:r>
    </w:p>
    <w:p w14:paraId="30C62A39" w14:textId="77777777" w:rsidR="000B354E" w:rsidRPr="009F0D91" w:rsidRDefault="000B354E" w:rsidP="00FA4A9F">
      <w:pPr>
        <w:pStyle w:val="Standard"/>
        <w:spacing w:after="0" w:line="240" w:lineRule="atLeast"/>
        <w:rPr>
          <w:rFonts w:ascii="Century Gothic" w:hAnsi="Century Gothic"/>
          <w:sz w:val="20"/>
          <w:lang w:val="fr-BE"/>
        </w:rPr>
      </w:pPr>
    </w:p>
    <w:p w14:paraId="0579C5B9" w14:textId="77777777" w:rsidR="005D12D2" w:rsidRPr="009F0D91" w:rsidRDefault="005D12D2" w:rsidP="00FA4A9F">
      <w:pPr>
        <w:rPr>
          <w:rFonts w:ascii="Century Gothic" w:eastAsia="PMingLiU" w:hAnsi="Century Gothic" w:cs="Arial"/>
          <w:b/>
          <w:lang w:val="fr-BE"/>
        </w:rPr>
      </w:pPr>
      <w:r>
        <w:rPr>
          <w:rFonts w:ascii="Century Gothic" w:eastAsia="PMingLiU" w:hAnsi="Century Gothic" w:cs="Arial"/>
          <w:b/>
          <w:lang w:val="fr"/>
        </w:rPr>
        <w:br w:type="page"/>
      </w:r>
    </w:p>
    <w:p w14:paraId="3D4EA2BA" w14:textId="1CF1DB60" w:rsidR="000B354E" w:rsidRPr="009F0D91" w:rsidRDefault="000B354E" w:rsidP="00FA4A9F">
      <w:pPr>
        <w:rPr>
          <w:rFonts w:ascii="Century Gothic" w:eastAsia="PMingLiU" w:hAnsi="Century Gothic" w:cs="Arial"/>
          <w:b/>
          <w:lang w:val="fr-BE"/>
        </w:rPr>
      </w:pPr>
      <w:r w:rsidRPr="003C6A5F">
        <w:rPr>
          <w:rFonts w:ascii="Century Gothic" w:eastAsia="PMingLiU" w:hAnsi="Century Gothic" w:cs="Arial"/>
          <w:b/>
          <w:lang w:val="fr"/>
        </w:rPr>
        <w:lastRenderedPageBreak/>
        <w:t>Chapitre 4. Entrée en vigueur, durée et dénonciation de la convention collective de travail</w:t>
      </w:r>
    </w:p>
    <w:p w14:paraId="0CC58121" w14:textId="77777777" w:rsidR="000B354E" w:rsidRPr="009F0D91" w:rsidRDefault="000B354E" w:rsidP="00FA4A9F">
      <w:pPr>
        <w:rPr>
          <w:rFonts w:ascii="Century Gothic" w:hAnsi="Century Gothic" w:cs="Arial"/>
          <w:lang w:val="fr-BE"/>
        </w:rPr>
      </w:pPr>
    </w:p>
    <w:p w14:paraId="0FF79460" w14:textId="77777777" w:rsidR="000B354E" w:rsidRPr="009F0D91" w:rsidRDefault="000B354E" w:rsidP="00FA4A9F">
      <w:pPr>
        <w:pStyle w:val="Corpsdetexte"/>
        <w:rPr>
          <w:rFonts w:ascii="Century Gothic" w:hAnsi="Century Gothic" w:cs="Arial"/>
          <w:b/>
          <w:sz w:val="20"/>
          <w:szCs w:val="24"/>
          <w:lang w:val="fr-BE"/>
        </w:rPr>
      </w:pPr>
      <w:r w:rsidRPr="009F0D91">
        <w:rPr>
          <w:rFonts w:ascii="Century Gothic" w:hAnsi="Century Gothic" w:cs="Arial"/>
          <w:b/>
          <w:sz w:val="20"/>
          <w:szCs w:val="24"/>
          <w:lang w:val="fr-BE"/>
        </w:rPr>
        <w:t>Article 7</w:t>
      </w:r>
    </w:p>
    <w:p w14:paraId="2803E1FF" w14:textId="77E6DAA2" w:rsidR="000B354E" w:rsidRPr="009F0D91" w:rsidRDefault="000B354E" w:rsidP="00FA4A9F">
      <w:pPr>
        <w:spacing w:before="120"/>
        <w:rPr>
          <w:rFonts w:ascii="Century Gothic" w:eastAsia="PMingLiU" w:hAnsi="Century Gothic"/>
          <w:lang w:val="fr-BE"/>
        </w:rPr>
      </w:pPr>
      <w:r w:rsidRPr="009F0D91">
        <w:rPr>
          <w:rFonts w:ascii="Century Gothic" w:hAnsi="Century Gothic"/>
          <w:b/>
          <w:lang w:val="fr-BE"/>
        </w:rPr>
        <w:t>§ 1</w:t>
      </w:r>
      <w:r w:rsidRPr="009F0D91">
        <w:rPr>
          <w:rFonts w:ascii="Century Gothic" w:hAnsi="Century Gothic"/>
          <w:b/>
          <w:vertAlign w:val="superscript"/>
          <w:lang w:val="fr-BE"/>
        </w:rPr>
        <w:t>er.</w:t>
      </w:r>
      <w:r w:rsidRPr="009F0D91">
        <w:rPr>
          <w:rFonts w:ascii="Century Gothic" w:hAnsi="Century Gothic"/>
          <w:lang w:val="fr-BE"/>
        </w:rPr>
        <w:t>La présente convention collective de travail entre en vigueur le 1</w:t>
      </w:r>
      <w:r w:rsidRPr="009F0D91">
        <w:rPr>
          <w:rFonts w:ascii="Century Gothic" w:hAnsi="Century Gothic"/>
          <w:vertAlign w:val="superscript"/>
          <w:lang w:val="fr-BE"/>
        </w:rPr>
        <w:t>er</w:t>
      </w:r>
      <w:r w:rsidRPr="009F0D91">
        <w:rPr>
          <w:rFonts w:ascii="Century Gothic" w:hAnsi="Century Gothic"/>
          <w:lang w:val="fr-BE"/>
        </w:rPr>
        <w:t xml:space="preserve"> janvier 2020 et est conclue pour une durée indéterminée.</w:t>
      </w:r>
    </w:p>
    <w:p w14:paraId="7257C764" w14:textId="14BF9379" w:rsidR="00873F04" w:rsidRPr="009F0D91" w:rsidRDefault="000B354E" w:rsidP="00B2235C">
      <w:pPr>
        <w:spacing w:before="120"/>
        <w:ind w:right="-286"/>
        <w:rPr>
          <w:rFonts w:ascii="Century Gothic" w:hAnsi="Century Gothic" w:cs="Arial"/>
          <w:caps/>
          <w:szCs w:val="20"/>
          <w:lang w:val="fr-BE"/>
        </w:rPr>
      </w:pPr>
      <w:r w:rsidRPr="009F0D91">
        <w:rPr>
          <w:rFonts w:ascii="Century Gothic" w:eastAsia="PMingLiU" w:hAnsi="Century Gothic"/>
          <w:b/>
          <w:lang w:val="fr-BE"/>
        </w:rPr>
        <w:t xml:space="preserve">§ 2. </w:t>
      </w:r>
      <w:r w:rsidRPr="009F0D91">
        <w:rPr>
          <w:rFonts w:ascii="Century Gothic" w:eastAsia="PMingLiU" w:hAnsi="Century Gothic"/>
          <w:lang w:val="fr-BE"/>
        </w:rPr>
        <w:t>La présente convention collective de travail peut être dénoncée par chacune des parties avant le 30 juin de chaque année calendrier, avec effet au 1</w:t>
      </w:r>
      <w:r w:rsidRPr="009F0D91">
        <w:rPr>
          <w:rFonts w:ascii="Century Gothic" w:eastAsia="PMingLiU" w:hAnsi="Century Gothic"/>
          <w:vertAlign w:val="superscript"/>
          <w:lang w:val="fr-BE"/>
        </w:rPr>
        <w:t>er</w:t>
      </w:r>
      <w:r w:rsidRPr="009F0D91">
        <w:rPr>
          <w:rFonts w:ascii="Century Gothic" w:eastAsia="PMingLiU" w:hAnsi="Century Gothic"/>
          <w:lang w:val="fr-BE"/>
        </w:rPr>
        <w:t xml:space="preserve"> janvier de l’année calendrier suivante. La dénonciation doit être notifiée par lettre recommandée à la poste, adressée au président de la commission paritaire</w:t>
      </w:r>
      <w:r w:rsidRPr="009F0D91">
        <w:rPr>
          <w:rFonts w:ascii="Century Gothic" w:eastAsia="PMingLiU" w:hAnsi="Century Gothic"/>
          <w:b/>
          <w:lang w:val="fr-BE"/>
        </w:rPr>
        <w:t xml:space="preserve"> </w:t>
      </w:r>
      <w:r w:rsidRPr="009F0D91">
        <w:rPr>
          <w:rStyle w:val="Accentuation"/>
          <w:rFonts w:ascii="Century Gothic" w:hAnsi="Century Gothic"/>
          <w:i w:val="0"/>
          <w:lang w:val="fr-BE"/>
        </w:rPr>
        <w:t>des établissements et des services de santé</w:t>
      </w:r>
      <w:r w:rsidRPr="009F0D91">
        <w:rPr>
          <w:rFonts w:ascii="Century Gothic" w:eastAsia="PMingLiU" w:hAnsi="Century Gothic"/>
          <w:lang w:val="fr-BE"/>
        </w:rPr>
        <w:t xml:space="preserve">, qui en enverra une copie à chacune des parties signataires. </w:t>
      </w:r>
    </w:p>
    <w:sectPr w:rsidR="00873F04" w:rsidRPr="009F0D91" w:rsidSect="00873F04">
      <w:footerReference w:type="default" r:id="rId10"/>
      <w:endnotePr>
        <w:numFmt w:val="decimal"/>
      </w:endnotePr>
      <w:pgSz w:w="11906" w:h="16838" w:code="9"/>
      <w:pgMar w:top="993"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63499" w14:textId="77777777" w:rsidR="00C74BCB" w:rsidRDefault="00C74BCB">
      <w:pPr>
        <w:spacing w:line="240" w:lineRule="auto"/>
      </w:pPr>
      <w:r>
        <w:separator/>
      </w:r>
    </w:p>
  </w:endnote>
  <w:endnote w:type="continuationSeparator" w:id="0">
    <w:p w14:paraId="59C05F2F" w14:textId="77777777" w:rsidR="00C74BCB" w:rsidRDefault="00C74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B9B3" w14:textId="6F4C8DF4" w:rsidR="006C1984" w:rsidRPr="006C1984" w:rsidRDefault="006C1984">
    <w:pPr>
      <w:pStyle w:val="Pieddepage"/>
      <w:jc w:val="right"/>
      <w:rPr>
        <w:rFonts w:ascii="Century Gothic" w:hAnsi="Century Gothic"/>
      </w:rPr>
    </w:pPr>
    <w:r w:rsidRPr="006C1984">
      <w:rPr>
        <w:rFonts w:ascii="Century Gothic" w:hAnsi="Century Gothic"/>
      </w:rPr>
      <w:fldChar w:fldCharType="begin"/>
    </w:r>
    <w:r w:rsidRPr="006C1984">
      <w:rPr>
        <w:rFonts w:ascii="Century Gothic" w:hAnsi="Century Gothic"/>
      </w:rPr>
      <w:instrText xml:space="preserve"> PAGE   \* MERGEFORMAT </w:instrText>
    </w:r>
    <w:r w:rsidRPr="006C1984">
      <w:rPr>
        <w:rFonts w:ascii="Century Gothic" w:hAnsi="Century Gothic"/>
      </w:rPr>
      <w:fldChar w:fldCharType="separate"/>
    </w:r>
    <w:r w:rsidR="000701CE">
      <w:rPr>
        <w:rFonts w:ascii="Century Gothic" w:hAnsi="Century Gothic"/>
        <w:noProof/>
      </w:rPr>
      <w:t>3</w:t>
    </w:r>
    <w:r w:rsidRPr="006C1984">
      <w:rPr>
        <w:rFonts w:ascii="Century Gothic" w:hAnsi="Century Gothic"/>
      </w:rPr>
      <w:fldChar w:fldCharType="end"/>
    </w:r>
    <w:r w:rsidR="005179BD">
      <w:rPr>
        <w:rFonts w:ascii="Century Gothic" w:hAnsi="Century Gothic"/>
      </w:rPr>
      <w:t>.</w:t>
    </w:r>
  </w:p>
  <w:p w14:paraId="3CB1F7AC" w14:textId="77777777" w:rsidR="006C1984" w:rsidRDefault="006C19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BB9C" w14:textId="77777777" w:rsidR="00C74BCB" w:rsidRDefault="00C74BCB">
      <w:pPr>
        <w:spacing w:line="240" w:lineRule="auto"/>
      </w:pPr>
      <w:r>
        <w:separator/>
      </w:r>
    </w:p>
  </w:footnote>
  <w:footnote w:type="continuationSeparator" w:id="0">
    <w:p w14:paraId="298A46E2" w14:textId="77777777" w:rsidR="00C74BCB" w:rsidRDefault="00C74B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0"/>
    <w:lvl w:ilvl="0">
      <w:start w:val="1"/>
      <w:numFmt w:val="bullet"/>
      <w:lvlText w:val=""/>
      <w:lvlJc w:val="left"/>
      <w:pPr>
        <w:tabs>
          <w:tab w:val="num" w:pos="397"/>
        </w:tabs>
        <w:ind w:left="397" w:hanging="397"/>
      </w:pPr>
      <w:rPr>
        <w:rFonts w:ascii="Symbol" w:hAnsi="Symbol" w:cs="Times New Roman"/>
      </w:rPr>
    </w:lvl>
  </w:abstractNum>
  <w:abstractNum w:abstractNumId="1" w15:restartNumberingAfterBreak="0">
    <w:nsid w:val="00000004"/>
    <w:multiLevelType w:val="singleLevel"/>
    <w:tmpl w:val="00000004"/>
    <w:name w:val="WW8Num24"/>
    <w:lvl w:ilvl="0">
      <w:start w:val="1"/>
      <w:numFmt w:val="bullet"/>
      <w:lvlText w:val=""/>
      <w:lvlJc w:val="left"/>
      <w:pPr>
        <w:tabs>
          <w:tab w:val="num" w:pos="397"/>
        </w:tabs>
        <w:ind w:left="397" w:hanging="397"/>
      </w:pPr>
      <w:rPr>
        <w:rFonts w:ascii="Symbol" w:hAnsi="Symbol" w:cs="Symbol"/>
        <w:color w:val="000000"/>
      </w:rPr>
    </w:lvl>
  </w:abstractNum>
  <w:abstractNum w:abstractNumId="2" w15:restartNumberingAfterBreak="0">
    <w:nsid w:val="050F4D68"/>
    <w:multiLevelType w:val="hybridMultilevel"/>
    <w:tmpl w:val="8AD82846"/>
    <w:lvl w:ilvl="0" w:tplc="08130001">
      <w:start w:val="1"/>
      <w:numFmt w:val="bullet"/>
      <w:lvlText w:val=""/>
      <w:lvlJc w:val="left"/>
      <w:pPr>
        <w:ind w:left="360" w:hanging="360"/>
      </w:pPr>
      <w:rPr>
        <w:rFonts w:ascii="Symbol" w:hAnsi="Symbol" w:hint="default"/>
      </w:rPr>
    </w:lvl>
    <w:lvl w:ilvl="1" w:tplc="2872E0EC">
      <w:numFmt w:val="bullet"/>
      <w:lvlText w:val="-"/>
      <w:lvlJc w:val="left"/>
      <w:pPr>
        <w:ind w:left="1080" w:hanging="360"/>
      </w:pPr>
      <w:rPr>
        <w:rFonts w:ascii="Verdana" w:eastAsia="Times New Roman" w:hAnsi="Verdana" w:cs="Times New Roman" w:hint="default"/>
      </w:rPr>
    </w:lvl>
    <w:lvl w:ilvl="2" w:tplc="2872E0EC">
      <w:numFmt w:val="bullet"/>
      <w:lvlText w:val="-"/>
      <w:lvlJc w:val="left"/>
      <w:pPr>
        <w:ind w:left="1800" w:hanging="360"/>
      </w:pPr>
      <w:rPr>
        <w:rFonts w:ascii="Verdana" w:eastAsia="Times New Roman" w:hAnsi="Verdana" w:cs="Times New Roman"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73819F5"/>
    <w:multiLevelType w:val="hybridMultilevel"/>
    <w:tmpl w:val="F96C38B8"/>
    <w:lvl w:ilvl="0" w:tplc="518AB310">
      <w:start w:val="1"/>
      <w:numFmt w:val="bullet"/>
      <w:lvlText w:val=""/>
      <w:lvlJc w:val="left"/>
      <w:pPr>
        <w:tabs>
          <w:tab w:val="num" w:pos="397"/>
        </w:tabs>
        <w:ind w:left="397" w:hanging="397"/>
      </w:pPr>
      <w:rPr>
        <w:rFonts w:ascii="Symbol"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abstractNum w:abstractNumId="4" w15:restartNumberingAfterBreak="0">
    <w:nsid w:val="0A7F535F"/>
    <w:multiLevelType w:val="hybridMultilevel"/>
    <w:tmpl w:val="532C189E"/>
    <w:lvl w:ilvl="0" w:tplc="FD18151A">
      <w:start w:val="30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3E64B4"/>
    <w:multiLevelType w:val="hybridMultilevel"/>
    <w:tmpl w:val="B9A450C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09F58D7"/>
    <w:multiLevelType w:val="hybridMultilevel"/>
    <w:tmpl w:val="D0EC72CA"/>
    <w:lvl w:ilvl="0" w:tplc="844CE80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111D41B7"/>
    <w:multiLevelType w:val="hybridMultilevel"/>
    <w:tmpl w:val="2BDE301A"/>
    <w:lvl w:ilvl="0" w:tplc="C4EE6354">
      <w:start w:val="1"/>
      <w:numFmt w:val="decimal"/>
      <w:lvlText w:val="%1."/>
      <w:lvlJc w:val="left"/>
      <w:pPr>
        <w:ind w:left="720" w:hanging="36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16D2FA3"/>
    <w:multiLevelType w:val="hybridMultilevel"/>
    <w:tmpl w:val="FD1CA932"/>
    <w:lvl w:ilvl="0" w:tplc="8154169E">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3611AA6"/>
    <w:multiLevelType w:val="hybridMultilevel"/>
    <w:tmpl w:val="B1B4EE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3845550"/>
    <w:multiLevelType w:val="hybridMultilevel"/>
    <w:tmpl w:val="80EA0646"/>
    <w:lvl w:ilvl="0" w:tplc="0188F9D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144F53D7"/>
    <w:multiLevelType w:val="hybridMultilevel"/>
    <w:tmpl w:val="913A02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4F358F4"/>
    <w:multiLevelType w:val="hybridMultilevel"/>
    <w:tmpl w:val="DFD6A82E"/>
    <w:lvl w:ilvl="0" w:tplc="719E16D4">
      <w:start w:val="1"/>
      <w:numFmt w:val="bullet"/>
      <w:lvlText w:val=""/>
      <w:lvlJc w:val="left"/>
      <w:pPr>
        <w:tabs>
          <w:tab w:val="num" w:pos="397"/>
        </w:tabs>
        <w:ind w:left="397" w:hanging="397"/>
      </w:pPr>
      <w:rPr>
        <w:rFonts w:ascii="Symbol" w:hAnsi="Symbol" w:cs="Times New Roman"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1BFC51F0"/>
    <w:multiLevelType w:val="hybridMultilevel"/>
    <w:tmpl w:val="E3827C8E"/>
    <w:lvl w:ilvl="0" w:tplc="DAF47B7A">
      <w:start w:val="1"/>
      <w:numFmt w:val="decimal"/>
      <w:lvlText w:val="%1."/>
      <w:lvlJc w:val="left"/>
      <w:pPr>
        <w:ind w:left="720" w:hanging="360"/>
      </w:pPr>
      <w:rPr>
        <w:rFonts w:hint="default"/>
        <w:i w:val="0"/>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5043F5B"/>
    <w:multiLevelType w:val="hybridMultilevel"/>
    <w:tmpl w:val="754A2A32"/>
    <w:lvl w:ilvl="0" w:tplc="FD18151A">
      <w:start w:val="304"/>
      <w:numFmt w:val="bullet"/>
      <w:lvlText w:val="-"/>
      <w:lvlJc w:val="left"/>
      <w:pPr>
        <w:ind w:left="1080" w:hanging="360"/>
      </w:pPr>
      <w:rPr>
        <w:rFonts w:ascii="Calibri" w:eastAsia="Calibri" w:hAnsi="Calibri" w:cs="Times New Roman"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2E4E2FB7"/>
    <w:multiLevelType w:val="hybridMultilevel"/>
    <w:tmpl w:val="83D88E3C"/>
    <w:lvl w:ilvl="0" w:tplc="2872E0EC">
      <w:numFmt w:val="bullet"/>
      <w:lvlText w:val="-"/>
      <w:lvlJc w:val="left"/>
      <w:pPr>
        <w:ind w:left="1800" w:hanging="360"/>
      </w:pPr>
      <w:rPr>
        <w:rFonts w:ascii="Verdana" w:eastAsia="Times New Roman" w:hAnsi="Verdana" w:cs="Times New Roman" w:hint="default"/>
      </w:rPr>
    </w:lvl>
    <w:lvl w:ilvl="1" w:tplc="08130003" w:tentative="1">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32B347B9"/>
    <w:multiLevelType w:val="hybridMultilevel"/>
    <w:tmpl w:val="A0DA5016"/>
    <w:lvl w:ilvl="0" w:tplc="08130001">
      <w:start w:val="1"/>
      <w:numFmt w:val="bullet"/>
      <w:lvlText w:val=""/>
      <w:lvlJc w:val="left"/>
      <w:pPr>
        <w:ind w:left="1068" w:hanging="360"/>
      </w:pPr>
      <w:rPr>
        <w:rFonts w:ascii="Symbol" w:hAnsi="Symbol" w:cs="Times New Roman"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cs="Times New Roman" w:hint="default"/>
      </w:rPr>
    </w:lvl>
    <w:lvl w:ilvl="3" w:tplc="08130001">
      <w:start w:val="1"/>
      <w:numFmt w:val="bullet"/>
      <w:lvlText w:val=""/>
      <w:lvlJc w:val="left"/>
      <w:pPr>
        <w:ind w:left="3228" w:hanging="360"/>
      </w:pPr>
      <w:rPr>
        <w:rFonts w:ascii="Symbol" w:hAnsi="Symbol" w:cs="Times New Roman"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cs="Times New Roman" w:hint="default"/>
      </w:rPr>
    </w:lvl>
    <w:lvl w:ilvl="6" w:tplc="08130001">
      <w:start w:val="1"/>
      <w:numFmt w:val="bullet"/>
      <w:lvlText w:val=""/>
      <w:lvlJc w:val="left"/>
      <w:pPr>
        <w:ind w:left="5388" w:hanging="360"/>
      </w:pPr>
      <w:rPr>
        <w:rFonts w:ascii="Symbol" w:hAnsi="Symbol" w:cs="Times New Roman"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cs="Times New Roman" w:hint="default"/>
      </w:rPr>
    </w:lvl>
  </w:abstractNum>
  <w:abstractNum w:abstractNumId="17" w15:restartNumberingAfterBreak="0">
    <w:nsid w:val="33E17693"/>
    <w:multiLevelType w:val="hybridMultilevel"/>
    <w:tmpl w:val="93D4AADC"/>
    <w:lvl w:ilvl="0" w:tplc="B11C2B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410D6"/>
    <w:multiLevelType w:val="hybridMultilevel"/>
    <w:tmpl w:val="C30C26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F70BEA"/>
    <w:multiLevelType w:val="hybridMultilevel"/>
    <w:tmpl w:val="43CC485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39A828FB"/>
    <w:multiLevelType w:val="hybridMultilevel"/>
    <w:tmpl w:val="A14EB4BE"/>
    <w:lvl w:ilvl="0" w:tplc="9BA0B00E">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3FBB2266"/>
    <w:multiLevelType w:val="hybridMultilevel"/>
    <w:tmpl w:val="689CA670"/>
    <w:lvl w:ilvl="0" w:tplc="2872E0EC">
      <w:numFmt w:val="bullet"/>
      <w:lvlText w:val="-"/>
      <w:lvlJc w:val="left"/>
      <w:pPr>
        <w:tabs>
          <w:tab w:val="num" w:pos="397"/>
        </w:tabs>
        <w:ind w:left="397" w:hanging="397"/>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0551B"/>
    <w:multiLevelType w:val="hybridMultilevel"/>
    <w:tmpl w:val="46B4CC14"/>
    <w:lvl w:ilvl="0" w:tplc="D9C84B6A">
      <w:numFmt w:val="bullet"/>
      <w:lvlText w:val=""/>
      <w:lvlJc w:val="left"/>
      <w:pPr>
        <w:tabs>
          <w:tab w:val="num" w:pos="397"/>
        </w:tabs>
        <w:ind w:left="397" w:hanging="397"/>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98591B"/>
    <w:multiLevelType w:val="hybridMultilevel"/>
    <w:tmpl w:val="707A587C"/>
    <w:lvl w:ilvl="0" w:tplc="B790945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4" w15:restartNumberingAfterBreak="0">
    <w:nsid w:val="44E123EA"/>
    <w:multiLevelType w:val="hybridMultilevel"/>
    <w:tmpl w:val="E070BEA6"/>
    <w:lvl w:ilvl="0" w:tplc="FD18151A">
      <w:start w:val="30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FB457D"/>
    <w:multiLevelType w:val="hybridMultilevel"/>
    <w:tmpl w:val="005E781E"/>
    <w:lvl w:ilvl="0" w:tplc="400EDE96">
      <w:start w:val="1"/>
      <w:numFmt w:val="bullet"/>
      <w:lvlText w:val="-"/>
      <w:lvlJc w:val="left"/>
      <w:pPr>
        <w:ind w:left="720" w:hanging="360"/>
      </w:pPr>
      <w:rPr>
        <w:rFonts w:ascii="Palatino Linotype" w:eastAsia="Times New Roman" w:hAnsi="Palatino Linotype" w:cs="Times New Roman" w:hint="default"/>
      </w:rPr>
    </w:lvl>
    <w:lvl w:ilvl="1" w:tplc="FD18151A">
      <w:start w:val="304"/>
      <w:numFmt w:val="bullet"/>
      <w:lvlText w:val="-"/>
      <w:lvlJc w:val="left"/>
      <w:pPr>
        <w:ind w:left="1440" w:hanging="360"/>
      </w:pPr>
      <w:rPr>
        <w:rFonts w:ascii="Calibri" w:eastAsia="Calibri" w:hAnsi="Calibri"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75379D1"/>
    <w:multiLevelType w:val="hybridMultilevel"/>
    <w:tmpl w:val="4C3C0666"/>
    <w:lvl w:ilvl="0" w:tplc="913AE1DA">
      <w:start w:val="1"/>
      <w:numFmt w:val="bullet"/>
      <w:lvlText w:val=""/>
      <w:lvlJc w:val="left"/>
      <w:pPr>
        <w:tabs>
          <w:tab w:val="num" w:pos="397"/>
        </w:tabs>
        <w:ind w:left="397" w:hanging="39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72025"/>
    <w:multiLevelType w:val="hybridMultilevel"/>
    <w:tmpl w:val="C11CEDF4"/>
    <w:lvl w:ilvl="0" w:tplc="4DA884B6">
      <w:start w:val="1"/>
      <w:numFmt w:val="decimal"/>
      <w:lvlText w:val="%1."/>
      <w:lvlJc w:val="left"/>
      <w:pPr>
        <w:ind w:left="720" w:hanging="360"/>
      </w:pPr>
      <w:rPr>
        <w:rFonts w:hint="default"/>
        <w:i w:val="0"/>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9CF504F"/>
    <w:multiLevelType w:val="hybridMultilevel"/>
    <w:tmpl w:val="5AA4BEEE"/>
    <w:lvl w:ilvl="0" w:tplc="9D60DCBA">
      <w:numFmt w:val="bullet"/>
      <w:lvlText w:val="-"/>
      <w:lvlJc w:val="left"/>
      <w:pPr>
        <w:ind w:left="720" w:hanging="360"/>
      </w:pPr>
      <w:rPr>
        <w:rFonts w:ascii="Palatino Linotype" w:eastAsia="Times New Roman" w:hAnsi="Palatino Linotype"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EF00A08"/>
    <w:multiLevelType w:val="hybridMultilevel"/>
    <w:tmpl w:val="08783F4A"/>
    <w:lvl w:ilvl="0" w:tplc="2872E0EC">
      <w:numFmt w:val="bullet"/>
      <w:lvlText w:val="-"/>
      <w:lvlJc w:val="left"/>
      <w:pPr>
        <w:tabs>
          <w:tab w:val="num" w:pos="397"/>
        </w:tabs>
        <w:ind w:left="397" w:hanging="397"/>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E5C66"/>
    <w:multiLevelType w:val="hybridMultilevel"/>
    <w:tmpl w:val="0878654E"/>
    <w:lvl w:ilvl="0" w:tplc="FD18151A">
      <w:start w:val="30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F77640"/>
    <w:multiLevelType w:val="multilevel"/>
    <w:tmpl w:val="BA583D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D647E72"/>
    <w:multiLevelType w:val="hybridMultilevel"/>
    <w:tmpl w:val="46B4CC14"/>
    <w:lvl w:ilvl="0" w:tplc="B73058F4">
      <w:numFmt w:val="bullet"/>
      <w:lvlText w:val="-"/>
      <w:lvlJc w:val="left"/>
      <w:pPr>
        <w:tabs>
          <w:tab w:val="num" w:pos="397"/>
        </w:tabs>
        <w:ind w:left="397" w:hanging="39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C56BF3"/>
    <w:multiLevelType w:val="hybridMultilevel"/>
    <w:tmpl w:val="2AEE3122"/>
    <w:lvl w:ilvl="0" w:tplc="08130001">
      <w:start w:val="1"/>
      <w:numFmt w:val="bullet"/>
      <w:lvlText w:val=""/>
      <w:lvlJc w:val="left"/>
      <w:pPr>
        <w:ind w:left="360" w:hanging="360"/>
      </w:pPr>
      <w:rPr>
        <w:rFonts w:ascii="Symbol" w:hAnsi="Symbol" w:hint="default"/>
      </w:rPr>
    </w:lvl>
    <w:lvl w:ilvl="1" w:tplc="2872E0EC">
      <w:numFmt w:val="bullet"/>
      <w:lvlText w:val="-"/>
      <w:lvlJc w:val="left"/>
      <w:pPr>
        <w:ind w:left="1080" w:hanging="360"/>
      </w:pPr>
      <w:rPr>
        <w:rFonts w:ascii="Verdana" w:eastAsia="Times New Roman" w:hAnsi="Verdana"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011348E"/>
    <w:multiLevelType w:val="hybridMultilevel"/>
    <w:tmpl w:val="F96C38B8"/>
    <w:lvl w:ilvl="0" w:tplc="08130001">
      <w:start w:val="1"/>
      <w:numFmt w:val="bullet"/>
      <w:lvlText w:val=""/>
      <w:lvlJc w:val="left"/>
      <w:pPr>
        <w:ind w:left="720" w:hanging="360"/>
      </w:pPr>
      <w:rPr>
        <w:rFonts w:ascii="Symbol"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abstractNum w:abstractNumId="35" w15:restartNumberingAfterBreak="0">
    <w:nsid w:val="64FD7D85"/>
    <w:multiLevelType w:val="hybridMultilevel"/>
    <w:tmpl w:val="5EC2BD6A"/>
    <w:lvl w:ilvl="0" w:tplc="FD18151A">
      <w:start w:val="30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70E6348"/>
    <w:multiLevelType w:val="hybridMultilevel"/>
    <w:tmpl w:val="F17CEC6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D3E2AB7"/>
    <w:multiLevelType w:val="hybridMultilevel"/>
    <w:tmpl w:val="707A587C"/>
    <w:lvl w:ilvl="0" w:tplc="B790945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8" w15:restartNumberingAfterBreak="0">
    <w:nsid w:val="72242869"/>
    <w:multiLevelType w:val="hybridMultilevel"/>
    <w:tmpl w:val="DFD6A82E"/>
    <w:lvl w:ilvl="0" w:tplc="518AB310">
      <w:start w:val="1"/>
      <w:numFmt w:val="bullet"/>
      <w:lvlText w:val=""/>
      <w:lvlJc w:val="left"/>
      <w:pPr>
        <w:tabs>
          <w:tab w:val="num" w:pos="1105"/>
        </w:tabs>
        <w:ind w:left="1105" w:hanging="397"/>
      </w:pPr>
      <w:rPr>
        <w:rFonts w:ascii="Symbol" w:hAnsi="Symbol" w:cs="Times New Roman"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2CC4519"/>
    <w:multiLevelType w:val="hybridMultilevel"/>
    <w:tmpl w:val="18C83930"/>
    <w:lvl w:ilvl="0" w:tplc="5D82CADA">
      <w:start w:val="1"/>
      <w:numFmt w:val="decimal"/>
      <w:lvlText w:val="%1."/>
      <w:lvlJc w:val="left"/>
      <w:pPr>
        <w:ind w:left="720" w:hanging="360"/>
      </w:pPr>
      <w:rPr>
        <w:rFonts w:hint="default"/>
        <w:i w:val="0"/>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3891070"/>
    <w:multiLevelType w:val="hybridMultilevel"/>
    <w:tmpl w:val="B8BCA8E6"/>
    <w:lvl w:ilvl="0" w:tplc="0038B3F8">
      <w:start w:val="1"/>
      <w:numFmt w:val="decimal"/>
      <w:lvlText w:val="%1."/>
      <w:lvlJc w:val="left"/>
      <w:pPr>
        <w:ind w:left="720" w:hanging="360"/>
      </w:pPr>
      <w:rPr>
        <w:rFonts w:hint="default"/>
        <w:i w:val="0"/>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59E7B88"/>
    <w:multiLevelType w:val="hybridMultilevel"/>
    <w:tmpl w:val="BA583DD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76614646"/>
    <w:multiLevelType w:val="hybridMultilevel"/>
    <w:tmpl w:val="597EB360"/>
    <w:lvl w:ilvl="0" w:tplc="FD18151A">
      <w:start w:val="304"/>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B35632B"/>
    <w:multiLevelType w:val="hybridMultilevel"/>
    <w:tmpl w:val="EAAC62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B467B55"/>
    <w:multiLevelType w:val="hybridMultilevel"/>
    <w:tmpl w:val="6E9CE8D6"/>
    <w:lvl w:ilvl="0" w:tplc="FD18151A">
      <w:start w:val="30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FD18151A">
      <w:start w:val="304"/>
      <w:numFmt w:val="bullet"/>
      <w:lvlText w:val="-"/>
      <w:lvlJc w:val="left"/>
      <w:pPr>
        <w:ind w:left="2160" w:hanging="360"/>
      </w:pPr>
      <w:rPr>
        <w:rFonts w:ascii="Calibri" w:eastAsia="Calibri" w:hAnsi="Calibri"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D45101F"/>
    <w:multiLevelType w:val="hybridMultilevel"/>
    <w:tmpl w:val="51EC5524"/>
    <w:lvl w:ilvl="0" w:tplc="08130001">
      <w:start w:val="1"/>
      <w:numFmt w:val="bullet"/>
      <w:lvlText w:val=""/>
      <w:lvlJc w:val="left"/>
      <w:pPr>
        <w:ind w:left="1068" w:hanging="360"/>
      </w:pPr>
      <w:rPr>
        <w:rFonts w:ascii="Symbol" w:hAnsi="Symbol" w:cs="Times New Roman"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cs="Times New Roman" w:hint="default"/>
      </w:rPr>
    </w:lvl>
    <w:lvl w:ilvl="3" w:tplc="08130001">
      <w:start w:val="1"/>
      <w:numFmt w:val="bullet"/>
      <w:lvlText w:val=""/>
      <w:lvlJc w:val="left"/>
      <w:pPr>
        <w:ind w:left="3228" w:hanging="360"/>
      </w:pPr>
      <w:rPr>
        <w:rFonts w:ascii="Symbol" w:hAnsi="Symbol" w:cs="Times New Roman"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cs="Times New Roman" w:hint="default"/>
      </w:rPr>
    </w:lvl>
    <w:lvl w:ilvl="6" w:tplc="08130001">
      <w:start w:val="1"/>
      <w:numFmt w:val="bullet"/>
      <w:lvlText w:val=""/>
      <w:lvlJc w:val="left"/>
      <w:pPr>
        <w:ind w:left="5388" w:hanging="360"/>
      </w:pPr>
      <w:rPr>
        <w:rFonts w:ascii="Symbol" w:hAnsi="Symbol" w:cs="Times New Roman"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cs="Times New Roman" w:hint="default"/>
      </w:rPr>
    </w:lvl>
  </w:abstractNum>
  <w:abstractNum w:abstractNumId="46" w15:restartNumberingAfterBreak="0">
    <w:nsid w:val="7D8D6442"/>
    <w:multiLevelType w:val="hybridMultilevel"/>
    <w:tmpl w:val="2D52F542"/>
    <w:lvl w:ilvl="0" w:tplc="0813000F">
      <w:start w:val="1"/>
      <w:numFmt w:val="decimal"/>
      <w:lvlText w:val="%1."/>
      <w:lvlJc w:val="left"/>
      <w:pPr>
        <w:ind w:left="720" w:hanging="36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1"/>
  </w:num>
  <w:num w:numId="2">
    <w:abstractNumId w:val="29"/>
  </w:num>
  <w:num w:numId="3">
    <w:abstractNumId w:val="5"/>
  </w:num>
  <w:num w:numId="4">
    <w:abstractNumId w:val="25"/>
  </w:num>
  <w:num w:numId="5">
    <w:abstractNumId w:val="8"/>
  </w:num>
  <w:num w:numId="6">
    <w:abstractNumId w:val="28"/>
  </w:num>
  <w:num w:numId="7">
    <w:abstractNumId w:val="10"/>
  </w:num>
  <w:num w:numId="8">
    <w:abstractNumId w:val="4"/>
  </w:num>
  <w:num w:numId="9">
    <w:abstractNumId w:val="43"/>
  </w:num>
  <w:num w:numId="10">
    <w:abstractNumId w:val="41"/>
  </w:num>
  <w:num w:numId="11">
    <w:abstractNumId w:val="24"/>
  </w:num>
  <w:num w:numId="12">
    <w:abstractNumId w:val="23"/>
  </w:num>
  <w:num w:numId="13">
    <w:abstractNumId w:val="37"/>
  </w:num>
  <w:num w:numId="14">
    <w:abstractNumId w:val="14"/>
  </w:num>
  <w:num w:numId="15">
    <w:abstractNumId w:val="36"/>
  </w:num>
  <w:num w:numId="16">
    <w:abstractNumId w:val="6"/>
  </w:num>
  <w:num w:numId="17">
    <w:abstractNumId w:val="11"/>
  </w:num>
  <w:num w:numId="18">
    <w:abstractNumId w:val="9"/>
  </w:num>
  <w:num w:numId="19">
    <w:abstractNumId w:val="19"/>
  </w:num>
  <w:num w:numId="20">
    <w:abstractNumId w:val="33"/>
  </w:num>
  <w:num w:numId="21">
    <w:abstractNumId w:val="2"/>
  </w:num>
  <w:num w:numId="22">
    <w:abstractNumId w:val="15"/>
  </w:num>
  <w:num w:numId="23">
    <w:abstractNumId w:val="35"/>
  </w:num>
  <w:num w:numId="24">
    <w:abstractNumId w:val="30"/>
  </w:num>
  <w:num w:numId="25">
    <w:abstractNumId w:val="44"/>
  </w:num>
  <w:num w:numId="26">
    <w:abstractNumId w:val="18"/>
  </w:num>
  <w:num w:numId="27">
    <w:abstractNumId w:val="46"/>
  </w:num>
  <w:num w:numId="28">
    <w:abstractNumId w:val="7"/>
  </w:num>
  <w:num w:numId="29">
    <w:abstractNumId w:val="39"/>
  </w:num>
  <w:num w:numId="30">
    <w:abstractNumId w:val="27"/>
  </w:num>
  <w:num w:numId="31">
    <w:abstractNumId w:val="13"/>
  </w:num>
  <w:num w:numId="32">
    <w:abstractNumId w:val="42"/>
  </w:num>
  <w:num w:numId="33">
    <w:abstractNumId w:val="40"/>
  </w:num>
  <w:num w:numId="34">
    <w:abstractNumId w:val="31"/>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2"/>
  </w:num>
  <w:num w:numId="38">
    <w:abstractNumId w:val="45"/>
  </w:num>
  <w:num w:numId="39">
    <w:abstractNumId w:val="16"/>
  </w:num>
  <w:num w:numId="40">
    <w:abstractNumId w:val="34"/>
  </w:num>
  <w:num w:numId="41">
    <w:abstractNumId w:val="3"/>
  </w:num>
  <w:num w:numId="42">
    <w:abstractNumId w:val="38"/>
  </w:num>
  <w:num w:numId="43">
    <w:abstractNumId w:val="12"/>
  </w:num>
  <w:num w:numId="44">
    <w:abstractNumId w:val="26"/>
  </w:num>
  <w:num w:numId="45">
    <w:abstractNumId w:val="0"/>
  </w:num>
  <w:num w:numId="46">
    <w:abstractNumId w:val="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FC"/>
    <w:rsid w:val="00013A73"/>
    <w:rsid w:val="000202F8"/>
    <w:rsid w:val="000633DC"/>
    <w:rsid w:val="000701CE"/>
    <w:rsid w:val="00074F8C"/>
    <w:rsid w:val="000B0B61"/>
    <w:rsid w:val="000B354E"/>
    <w:rsid w:val="000E3D90"/>
    <w:rsid w:val="00116939"/>
    <w:rsid w:val="00154F13"/>
    <w:rsid w:val="0016429B"/>
    <w:rsid w:val="001652D6"/>
    <w:rsid w:val="00170B07"/>
    <w:rsid w:val="001C0E39"/>
    <w:rsid w:val="001C1F8E"/>
    <w:rsid w:val="002323AE"/>
    <w:rsid w:val="00271C7A"/>
    <w:rsid w:val="002E26B4"/>
    <w:rsid w:val="0032170B"/>
    <w:rsid w:val="00394A36"/>
    <w:rsid w:val="003C28DF"/>
    <w:rsid w:val="003C2AAC"/>
    <w:rsid w:val="003C416A"/>
    <w:rsid w:val="003C6A5F"/>
    <w:rsid w:val="003D79C5"/>
    <w:rsid w:val="00407AE3"/>
    <w:rsid w:val="004235FA"/>
    <w:rsid w:val="00435153"/>
    <w:rsid w:val="00480051"/>
    <w:rsid w:val="00491A7E"/>
    <w:rsid w:val="005179BD"/>
    <w:rsid w:val="005A4916"/>
    <w:rsid w:val="005B13DF"/>
    <w:rsid w:val="005D0932"/>
    <w:rsid w:val="005D12D2"/>
    <w:rsid w:val="005F5D3F"/>
    <w:rsid w:val="00651FBA"/>
    <w:rsid w:val="00670527"/>
    <w:rsid w:val="006731FC"/>
    <w:rsid w:val="0069774C"/>
    <w:rsid w:val="006C0319"/>
    <w:rsid w:val="006C1984"/>
    <w:rsid w:val="006C7C17"/>
    <w:rsid w:val="006D780A"/>
    <w:rsid w:val="007928BB"/>
    <w:rsid w:val="007B6D08"/>
    <w:rsid w:val="007C7066"/>
    <w:rsid w:val="007D43BF"/>
    <w:rsid w:val="00822959"/>
    <w:rsid w:val="00827814"/>
    <w:rsid w:val="00855AD7"/>
    <w:rsid w:val="0086541B"/>
    <w:rsid w:val="00873F04"/>
    <w:rsid w:val="008F4F1B"/>
    <w:rsid w:val="00980942"/>
    <w:rsid w:val="009C4A17"/>
    <w:rsid w:val="009D2D44"/>
    <w:rsid w:val="009F0D91"/>
    <w:rsid w:val="00A603EA"/>
    <w:rsid w:val="00A86D4F"/>
    <w:rsid w:val="00AC306B"/>
    <w:rsid w:val="00B2235C"/>
    <w:rsid w:val="00B41039"/>
    <w:rsid w:val="00B65E1B"/>
    <w:rsid w:val="00BD3953"/>
    <w:rsid w:val="00BF1F77"/>
    <w:rsid w:val="00BF2763"/>
    <w:rsid w:val="00C4198B"/>
    <w:rsid w:val="00C56AA5"/>
    <w:rsid w:val="00C74BCB"/>
    <w:rsid w:val="00CE6B65"/>
    <w:rsid w:val="00CF2120"/>
    <w:rsid w:val="00D462DE"/>
    <w:rsid w:val="00D5615E"/>
    <w:rsid w:val="00D61A3F"/>
    <w:rsid w:val="00D8428A"/>
    <w:rsid w:val="00DB29A0"/>
    <w:rsid w:val="00DE43FE"/>
    <w:rsid w:val="00DE4865"/>
    <w:rsid w:val="00E01FD6"/>
    <w:rsid w:val="00E02CD0"/>
    <w:rsid w:val="00E5505C"/>
    <w:rsid w:val="00E66647"/>
    <w:rsid w:val="00E67FB1"/>
    <w:rsid w:val="00E9406C"/>
    <w:rsid w:val="00EA04DC"/>
    <w:rsid w:val="00EA51B9"/>
    <w:rsid w:val="00F01AD0"/>
    <w:rsid w:val="00F13A69"/>
    <w:rsid w:val="00F15DEE"/>
    <w:rsid w:val="00F43033"/>
    <w:rsid w:val="00F63ACF"/>
    <w:rsid w:val="00FA4A9F"/>
    <w:rsid w:val="00FA7621"/>
    <w:rsid w:val="00FD10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E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40" w:lineRule="atLeast"/>
    </w:pPr>
    <w:rPr>
      <w:rFonts w:ascii="Verdana" w:eastAsia="Times New Roman" w:hAnsi="Verdana"/>
      <w:szCs w:val="24"/>
      <w:lang w:eastAsia="nl-NL"/>
    </w:rPr>
  </w:style>
  <w:style w:type="paragraph" w:styleId="Titre1">
    <w:name w:val="heading 1"/>
    <w:basedOn w:val="Normal"/>
    <w:next w:val="Normal"/>
    <w:qFormat/>
    <w:pPr>
      <w:keepNext/>
      <w:outlineLvl w:val="0"/>
    </w:pPr>
    <w:rPr>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Kop1Char">
    <w:name w:val="Kop 1 Char"/>
    <w:rPr>
      <w:rFonts w:ascii="Verdana" w:eastAsia="Times New Roman" w:hAnsi="Verdana" w:cs="Times New Roman"/>
      <w:b/>
      <w:bCs/>
      <w:sz w:val="20"/>
      <w:szCs w:val="24"/>
      <w:lang w:val="fr-FR" w:eastAsia="nl-NL"/>
    </w:rPr>
  </w:style>
  <w:style w:type="paragraph" w:styleId="En-tte">
    <w:name w:val="header"/>
    <w:basedOn w:val="Normal"/>
    <w:pPr>
      <w:tabs>
        <w:tab w:val="center" w:pos="4536"/>
        <w:tab w:val="right" w:pos="9072"/>
      </w:tabs>
    </w:pPr>
  </w:style>
  <w:style w:type="character" w:customStyle="1" w:styleId="KoptekstChar">
    <w:name w:val="Koptekst Char"/>
    <w:rPr>
      <w:rFonts w:ascii="Verdana" w:eastAsia="Times New Roman" w:hAnsi="Verdana" w:cs="Times New Roman"/>
      <w:sz w:val="20"/>
      <w:szCs w:val="24"/>
      <w:lang w:eastAsia="nl-NL"/>
    </w:rPr>
  </w:style>
  <w:style w:type="paragraph" w:styleId="Corpsdetexte">
    <w:name w:val="Body Text"/>
    <w:basedOn w:val="Normal"/>
    <w:pPr>
      <w:spacing w:line="240" w:lineRule="auto"/>
    </w:pPr>
    <w:rPr>
      <w:rFonts w:ascii="Arial" w:hAnsi="Arial"/>
      <w:sz w:val="22"/>
      <w:szCs w:val="20"/>
      <w:lang w:val="nl-NL"/>
    </w:rPr>
  </w:style>
  <w:style w:type="character" w:customStyle="1" w:styleId="PlattetekstChar">
    <w:name w:val="Platte tekst Char"/>
    <w:rPr>
      <w:rFonts w:ascii="Arial" w:eastAsia="Times New Roman" w:hAnsi="Arial" w:cs="Times New Roman"/>
      <w:szCs w:val="20"/>
      <w:lang w:val="nl-NL" w:eastAsia="nl-NL"/>
    </w:rPr>
  </w:style>
  <w:style w:type="paragraph" w:styleId="Notedebasdepage">
    <w:name w:val="footnote text"/>
    <w:basedOn w:val="Normal"/>
    <w:semiHidden/>
    <w:unhideWhenUsed/>
    <w:rPr>
      <w:szCs w:val="20"/>
    </w:rPr>
  </w:style>
  <w:style w:type="character" w:customStyle="1" w:styleId="VoetnoottekstChar">
    <w:name w:val="Voetnoottekst Char"/>
    <w:semiHidden/>
    <w:rPr>
      <w:rFonts w:ascii="Verdana" w:eastAsia="Times New Roman" w:hAnsi="Verdana"/>
      <w:lang w:eastAsia="nl-NL"/>
    </w:rPr>
  </w:style>
  <w:style w:type="character" w:styleId="Appelnotedebasdep">
    <w:name w:val="footnote reference"/>
    <w:semiHidden/>
    <w:unhideWhenUsed/>
    <w:rPr>
      <w:vertAlign w:val="superscript"/>
    </w:rPr>
  </w:style>
  <w:style w:type="paragraph" w:styleId="Paragraphedeliste">
    <w:name w:val="List Paragraph"/>
    <w:basedOn w:val="Normal"/>
    <w:qFormat/>
    <w:pPr>
      <w:ind w:left="708"/>
    </w:pPr>
  </w:style>
  <w:style w:type="paragraph" w:styleId="Notedefin">
    <w:name w:val="endnote text"/>
    <w:basedOn w:val="Normal"/>
    <w:semiHidden/>
    <w:unhideWhenUsed/>
    <w:rPr>
      <w:szCs w:val="20"/>
    </w:rPr>
  </w:style>
  <w:style w:type="character" w:customStyle="1" w:styleId="EindnoottekstChar">
    <w:name w:val="Eindnoottekst Char"/>
    <w:semiHidden/>
    <w:rPr>
      <w:rFonts w:ascii="Verdana" w:eastAsia="Times New Roman" w:hAnsi="Verdana"/>
      <w:lang w:eastAsia="nl-NL"/>
    </w:rPr>
  </w:style>
  <w:style w:type="character" w:styleId="Appeldenotedefin">
    <w:name w:val="endnote reference"/>
    <w:semiHidden/>
    <w:unhideWhenUsed/>
    <w:rPr>
      <w:vertAlign w:val="superscript"/>
    </w:rPr>
  </w:style>
  <w:style w:type="character" w:styleId="Lienhypertexte">
    <w:name w:val="Hyperlink"/>
    <w:unhideWhenUsed/>
    <w:rPr>
      <w:color w:val="0000FF"/>
      <w:u w:val="single"/>
    </w:rPr>
  </w:style>
  <w:style w:type="paragraph" w:styleId="Pieddepage">
    <w:name w:val="footer"/>
    <w:basedOn w:val="Normal"/>
    <w:unhideWhenUsed/>
    <w:pPr>
      <w:tabs>
        <w:tab w:val="center" w:pos="4536"/>
        <w:tab w:val="right" w:pos="9072"/>
      </w:tabs>
    </w:pPr>
  </w:style>
  <w:style w:type="character" w:customStyle="1" w:styleId="VoettekstChar">
    <w:name w:val="Voettekst Char"/>
    <w:rPr>
      <w:rFonts w:ascii="Verdana" w:eastAsia="Times New Roman" w:hAnsi="Verdana"/>
      <w:szCs w:val="24"/>
      <w:lang w:eastAsia="nl-NL"/>
    </w:rPr>
  </w:style>
  <w:style w:type="character" w:styleId="Accentuation">
    <w:name w:val="Emphasis"/>
    <w:qFormat/>
    <w:rPr>
      <w:i/>
      <w:iCs/>
    </w:rPr>
  </w:style>
  <w:style w:type="paragraph" w:styleId="Textedebulles">
    <w:name w:val="Balloon Text"/>
    <w:basedOn w:val="Normal"/>
    <w:semiHidden/>
    <w:rPr>
      <w:rFonts w:ascii="Tahoma" w:hAnsi="Tahoma" w:cs="Tahoma"/>
      <w:sz w:val="16"/>
      <w:szCs w:val="16"/>
    </w:rPr>
  </w:style>
  <w:style w:type="paragraph" w:customStyle="1" w:styleId="Standard">
    <w:name w:val="Standard"/>
    <w:pPr>
      <w:suppressAutoHyphens/>
      <w:autoSpaceDN w:val="0"/>
      <w:spacing w:after="113" w:line="276" w:lineRule="auto"/>
      <w:textAlignment w:val="baseline"/>
    </w:pPr>
    <w:rPr>
      <w:rFonts w:eastAsia="Times New Roman"/>
      <w:kern w:val="3"/>
      <w:sz w:val="22"/>
      <w:szCs w:val="24"/>
      <w:lang w:val="en-US" w:eastAsia="zh-CN"/>
    </w:rPr>
  </w:style>
  <w:style w:type="paragraph" w:customStyle="1" w:styleId="Lijstalinea1">
    <w:name w:val="Lijstalinea1"/>
    <w:basedOn w:val="Standard"/>
    <w:pPr>
      <w:ind w:left="720"/>
    </w:pPr>
  </w:style>
  <w:style w:type="paragraph" w:customStyle="1" w:styleId="Default">
    <w:name w:val="Default"/>
    <w:rsid w:val="00F43033"/>
    <w:pPr>
      <w:autoSpaceDE w:val="0"/>
      <w:autoSpaceDN w:val="0"/>
      <w:adjustRightInd w:val="0"/>
    </w:pPr>
    <w:rPr>
      <w:rFonts w:ascii="Trebuchet MS" w:eastAsia="Times New Roma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793E32E6E7949A1533813005400CB" ma:contentTypeVersion="10" ma:contentTypeDescription="Een nieuw document maken." ma:contentTypeScope="" ma:versionID="867b74c1500ae4b13ddd6dedb847b1cd">
  <xsd:schema xmlns:xsd="http://www.w3.org/2001/XMLSchema" xmlns:xs="http://www.w3.org/2001/XMLSchema" xmlns:p="http://schemas.microsoft.com/office/2006/metadata/properties" xmlns:ns3="38011c14-75b3-4b0f-8418-7f5b0f86dda5" xmlns:ns4="f51a27b4-9c4d-499b-a4c5-124dac867f88" targetNamespace="http://schemas.microsoft.com/office/2006/metadata/properties" ma:root="true" ma:fieldsID="3e557b58a7fa73a2f13b6351e0b631e8" ns3:_="" ns4:_="">
    <xsd:import namespace="38011c14-75b3-4b0f-8418-7f5b0f86dda5"/>
    <xsd:import namespace="f51a27b4-9c4d-499b-a4c5-124dac867f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11c14-75b3-4b0f-8418-7f5b0f86dda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a27b4-9c4d-499b-a4c5-124dac867f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399B7-939F-4B30-8F27-9681E6B98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11c14-75b3-4b0f-8418-7f5b0f86dda5"/>
    <ds:schemaRef ds:uri="f51a27b4-9c4d-499b-a4c5-124dac867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1171B-0624-4396-970A-00921FEE9F25}">
  <ds:schemaRefs>
    <ds:schemaRef ds:uri="http://purl.org/dc/dcmitype/"/>
    <ds:schemaRef ds:uri="http://schemas.microsoft.com/office/infopath/2007/PartnerControls"/>
    <ds:schemaRef ds:uri="http://purl.org/dc/elements/1.1/"/>
    <ds:schemaRef ds:uri="http://schemas.microsoft.com/office/2006/metadata/properties"/>
    <ds:schemaRef ds:uri="38011c14-75b3-4b0f-8418-7f5b0f86dda5"/>
    <ds:schemaRef ds:uri="http://schemas.microsoft.com/office/2006/documentManagement/types"/>
    <ds:schemaRef ds:uri="http://purl.org/dc/terms/"/>
    <ds:schemaRef ds:uri="http://schemas.openxmlformats.org/package/2006/metadata/core-properties"/>
    <ds:schemaRef ds:uri="f51a27b4-9c4d-499b-a4c5-124dac867f88"/>
    <ds:schemaRef ds:uri="http://www.w3.org/XML/1998/namespace"/>
  </ds:schemaRefs>
</ds:datastoreItem>
</file>

<file path=customXml/itemProps3.xml><?xml version="1.0" encoding="utf-8"?>
<ds:datastoreItem xmlns:ds="http://schemas.openxmlformats.org/officeDocument/2006/customXml" ds:itemID="{F3EE7786-1359-4EB5-829B-0344843CF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6210</Characters>
  <Application>Microsoft Office Word</Application>
  <DocSecurity>4</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330 CCT engagement de pension 2017 FR</vt:lpstr>
      <vt:lpstr>330 CAO pensioentoezegging 2017 NL</vt:lpstr>
    </vt:vector>
  </TitlesOfParts>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330 CCT engagement de pension 2017 FR</dc:title>
  <dc:creator/>
  <cp:lastModifiedBy/>
  <cp:revision>1</cp:revision>
  <dcterms:created xsi:type="dcterms:W3CDTF">2020-08-04T09:31:00Z</dcterms:created>
  <dcterms:modified xsi:type="dcterms:W3CDTF">2020-08-04T09:31:00Z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0x0101008AE793E32E6E7949A1533813005400CB</vt:lpwstr>
  </property>
</Properties>
</file>